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975" w:rsidRDefault="00410975" w:rsidP="00347052">
      <w:pPr>
        <w:pStyle w:val="Default"/>
        <w:spacing w:line="276" w:lineRule="auto"/>
        <w:jc w:val="center"/>
        <w:rPr>
          <w:rFonts w:asciiTheme="minorHAnsi" w:hAnsiTheme="minorHAnsi" w:cstheme="minorHAnsi"/>
          <w:b/>
          <w:lang w:val="en-US"/>
        </w:rPr>
      </w:pPr>
      <w:bookmarkStart w:id="0" w:name="_GoBack"/>
      <w:r>
        <w:rPr>
          <w:rFonts w:asciiTheme="minorHAnsi" w:hAnsiTheme="minorHAnsi" w:cstheme="minorHAnsi"/>
          <w:b/>
          <w:noProof/>
          <w:lang w:eastAsia="el-GR"/>
        </w:rPr>
        <w:drawing>
          <wp:anchor distT="0" distB="0" distL="114300" distR="114300" simplePos="0" relativeHeight="251658240" behindDoc="1" locked="0" layoutInCell="1" allowOverlap="1">
            <wp:simplePos x="0" y="0"/>
            <wp:positionH relativeFrom="column">
              <wp:posOffset>-1141095</wp:posOffset>
            </wp:positionH>
            <wp:positionV relativeFrom="paragraph">
              <wp:posOffset>-1060400</wp:posOffset>
            </wp:positionV>
            <wp:extent cx="3576955" cy="1542415"/>
            <wp:effectExtent l="0" t="0" r="4445" b="635"/>
            <wp:wrapTight wrapText="bothSides">
              <wp:wrapPolygon edited="0">
                <wp:start x="0" y="0"/>
                <wp:lineTo x="0" y="21342"/>
                <wp:lineTo x="21512" y="21342"/>
                <wp:lineTo x="21512" y="0"/>
                <wp:lineTo x="0" y="0"/>
              </wp:wrapPolygon>
            </wp:wrapTight>
            <wp:docPr id="1" name="Picture 1"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52" t="3670" r="51966" b="-3308"/>
                    <a:stretch/>
                  </pic:blipFill>
                  <pic:spPr bwMode="auto">
                    <a:xfrm>
                      <a:off x="0" y="0"/>
                      <a:ext cx="3576955" cy="1542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410975" w:rsidRDefault="00410975" w:rsidP="00347052">
      <w:pPr>
        <w:pStyle w:val="Default"/>
        <w:spacing w:line="276" w:lineRule="auto"/>
        <w:jc w:val="center"/>
        <w:rPr>
          <w:rFonts w:asciiTheme="minorHAnsi" w:hAnsiTheme="minorHAnsi" w:cstheme="minorHAnsi"/>
          <w:b/>
          <w:lang w:val="en-US"/>
        </w:rPr>
      </w:pPr>
    </w:p>
    <w:p w:rsidR="00410975" w:rsidRDefault="00410975" w:rsidP="00347052">
      <w:pPr>
        <w:pStyle w:val="Default"/>
        <w:spacing w:line="276" w:lineRule="auto"/>
        <w:jc w:val="center"/>
        <w:rPr>
          <w:rFonts w:asciiTheme="minorHAnsi" w:hAnsiTheme="minorHAnsi" w:cstheme="minorHAnsi"/>
          <w:b/>
          <w:lang w:val="en-US"/>
        </w:rPr>
      </w:pPr>
    </w:p>
    <w:p w:rsidR="0008671E" w:rsidRDefault="001F6F37" w:rsidP="00347052">
      <w:pPr>
        <w:pStyle w:val="Default"/>
        <w:spacing w:line="276" w:lineRule="auto"/>
        <w:jc w:val="center"/>
        <w:rPr>
          <w:rFonts w:asciiTheme="minorHAnsi" w:hAnsiTheme="minorHAnsi" w:cstheme="minorHAnsi"/>
          <w:b/>
          <w:lang w:val="en-US"/>
        </w:rPr>
      </w:pPr>
      <w:r w:rsidRPr="0008671E">
        <w:rPr>
          <w:rFonts w:asciiTheme="minorHAnsi" w:hAnsiTheme="minorHAnsi" w:cstheme="minorHAnsi"/>
          <w:b/>
          <w:lang w:val="en-US"/>
        </w:rPr>
        <w:t>CySEC Guide</w:t>
      </w:r>
    </w:p>
    <w:p w:rsidR="001F6F37" w:rsidRPr="0008671E" w:rsidRDefault="001F6F37" w:rsidP="005D7071">
      <w:pPr>
        <w:pStyle w:val="Default"/>
        <w:spacing w:line="276" w:lineRule="auto"/>
        <w:jc w:val="center"/>
        <w:rPr>
          <w:rFonts w:asciiTheme="minorHAnsi" w:hAnsiTheme="minorHAnsi" w:cstheme="minorHAnsi"/>
          <w:b/>
          <w:lang w:val="en-US"/>
        </w:rPr>
      </w:pPr>
      <w:r w:rsidRPr="0008671E">
        <w:rPr>
          <w:rFonts w:asciiTheme="minorHAnsi" w:hAnsiTheme="minorHAnsi" w:cstheme="minorHAnsi"/>
          <w:b/>
          <w:lang w:val="en-US"/>
        </w:rPr>
        <w:t>for Part B of the Application for the Granting of CIF authorization</w:t>
      </w:r>
      <w:r w:rsidR="0008671E">
        <w:rPr>
          <w:rFonts w:asciiTheme="minorHAnsi" w:hAnsiTheme="minorHAnsi" w:cstheme="minorHAnsi"/>
          <w:b/>
          <w:lang w:val="en-US"/>
        </w:rPr>
        <w:t xml:space="preserve"> (</w:t>
      </w:r>
      <w:r w:rsidRPr="0008671E">
        <w:rPr>
          <w:rFonts w:asciiTheme="minorHAnsi" w:hAnsiTheme="minorHAnsi" w:cstheme="minorHAnsi"/>
          <w:b/>
          <w:lang w:val="en-US"/>
        </w:rPr>
        <w:t>Form 144-03-01</w:t>
      </w:r>
      <w:r w:rsidR="0008671E">
        <w:rPr>
          <w:rFonts w:asciiTheme="minorHAnsi" w:hAnsiTheme="minorHAnsi" w:cstheme="minorHAnsi"/>
          <w:b/>
          <w:lang w:val="en-US"/>
        </w:rPr>
        <w:t>)</w:t>
      </w:r>
    </w:p>
    <w:p w:rsidR="001F6F37" w:rsidRPr="0008671E" w:rsidRDefault="001F6F37" w:rsidP="001F6F37">
      <w:pPr>
        <w:ind w:right="-294"/>
        <w:jc w:val="both"/>
        <w:rPr>
          <w:rFonts w:asciiTheme="minorHAnsi" w:hAnsiTheme="minorHAnsi" w:cstheme="minorHAnsi"/>
          <w:b/>
        </w:rPr>
      </w:pPr>
    </w:p>
    <w:p w:rsidR="001F6F37" w:rsidRPr="0008671E" w:rsidRDefault="001F6F37" w:rsidP="001F6F37">
      <w:pPr>
        <w:ind w:right="-294"/>
        <w:jc w:val="both"/>
        <w:rPr>
          <w:rFonts w:asciiTheme="minorHAnsi" w:hAnsiTheme="minorHAnsi" w:cstheme="minorHAnsi"/>
          <w:color w:val="252525"/>
          <w:shd w:val="clear" w:color="auto" w:fill="FFFFFF"/>
        </w:rPr>
      </w:pPr>
      <w:r w:rsidRPr="0008671E">
        <w:rPr>
          <w:rFonts w:asciiTheme="minorHAnsi" w:hAnsiTheme="minorHAnsi" w:cstheme="minorHAnsi"/>
          <w:color w:val="252525"/>
          <w:shd w:val="clear" w:color="auto" w:fill="FFFFFF"/>
        </w:rPr>
        <w:t xml:space="preserve">An operator of an MTF should have a clearly labelled rulebook in place that will include its operating procedures and processes, as well as its membership rules. This Guide aims to assist applicants in the preparation of the MTF’s rulebook in accordance with Part B of the Form 144-03-01. </w:t>
      </w:r>
    </w:p>
    <w:p w:rsidR="001F6F37" w:rsidRPr="0008671E" w:rsidRDefault="001F6F37" w:rsidP="001F6F37">
      <w:pPr>
        <w:ind w:right="-294"/>
        <w:jc w:val="both"/>
        <w:rPr>
          <w:rFonts w:asciiTheme="minorHAnsi" w:hAnsiTheme="minorHAnsi" w:cstheme="minorHAnsi"/>
          <w:b/>
          <w:i/>
        </w:rPr>
      </w:pPr>
      <w:r w:rsidRPr="0008671E">
        <w:rPr>
          <w:rFonts w:asciiTheme="minorHAnsi" w:hAnsiTheme="minorHAnsi" w:cstheme="minorHAnsi"/>
          <w:b/>
        </w:rPr>
        <w:t xml:space="preserve">Paragraph 2.1.1 </w:t>
      </w:r>
      <w:r w:rsidRPr="0008671E">
        <w:rPr>
          <w:rFonts w:asciiTheme="minorHAnsi" w:hAnsiTheme="minorHAnsi" w:cstheme="minorHAnsi"/>
          <w:b/>
          <w:i/>
        </w:rPr>
        <w:t>“T</w:t>
      </w:r>
      <w:r w:rsidRPr="0008671E">
        <w:rPr>
          <w:rFonts w:asciiTheme="minorHAnsi" w:hAnsiTheme="minorHAnsi" w:cstheme="minorHAnsi"/>
          <w:b/>
          <w:bCs/>
          <w:i/>
          <w:iCs/>
          <w:color w:val="000000"/>
        </w:rPr>
        <w:t xml:space="preserve">ransparent and non-discretionary rules and procedures for fair and orderly trading and objective criteria for the efficient execution of orders.” </w:t>
      </w:r>
    </w:p>
    <w:p w:rsidR="001F6F37" w:rsidRPr="0008671E" w:rsidRDefault="001F6F37" w:rsidP="001F6F37">
      <w:pPr>
        <w:ind w:right="-294"/>
        <w:jc w:val="both"/>
        <w:rPr>
          <w:rFonts w:asciiTheme="minorHAnsi" w:hAnsiTheme="minorHAnsi" w:cstheme="minorHAnsi"/>
          <w:color w:val="252525"/>
          <w:shd w:val="clear" w:color="auto" w:fill="FFFFFF"/>
        </w:rPr>
      </w:pPr>
      <w:r w:rsidRPr="0008671E">
        <w:rPr>
          <w:rFonts w:asciiTheme="minorHAnsi" w:hAnsiTheme="minorHAnsi" w:cstheme="minorHAnsi"/>
          <w:color w:val="252525"/>
          <w:shd w:val="clear" w:color="auto" w:fill="FFFFFF"/>
        </w:rPr>
        <w:t xml:space="preserve">The rules and procedures for fair and orderly trading and objective criteria for the efficient execution of orders should be included in the MTF’s rulebook. In order to meet the transparency requirement, the rulebook should be publicly available on the MTF operator’s website. </w:t>
      </w:r>
    </w:p>
    <w:p w:rsidR="001F6F37" w:rsidRPr="0008671E" w:rsidRDefault="001F6F37" w:rsidP="001F6F37">
      <w:pPr>
        <w:autoSpaceDE w:val="0"/>
        <w:autoSpaceDN w:val="0"/>
        <w:adjustRightInd w:val="0"/>
        <w:jc w:val="both"/>
        <w:rPr>
          <w:rFonts w:asciiTheme="minorHAnsi" w:hAnsiTheme="minorHAnsi" w:cstheme="minorHAnsi"/>
          <w:i/>
          <w:color w:val="000000"/>
        </w:rPr>
      </w:pPr>
      <w:r w:rsidRPr="0008671E">
        <w:rPr>
          <w:rFonts w:asciiTheme="minorHAnsi" w:hAnsiTheme="minorHAnsi" w:cstheme="minorHAnsi"/>
          <w:color w:val="000000"/>
        </w:rPr>
        <w:t xml:space="preserve">The contents of an MTF operator’s rulebook should demonstrate that they are complying with the requirements of the Law and the provisions of Part B of Form 144-01-03. </w:t>
      </w:r>
    </w:p>
    <w:p w:rsidR="001F6F37" w:rsidRPr="0008671E" w:rsidRDefault="001F6F37" w:rsidP="001F6F37">
      <w:pPr>
        <w:autoSpaceDE w:val="0"/>
        <w:autoSpaceDN w:val="0"/>
        <w:adjustRightInd w:val="0"/>
        <w:jc w:val="both"/>
        <w:rPr>
          <w:rFonts w:asciiTheme="minorHAnsi" w:hAnsiTheme="minorHAnsi" w:cstheme="minorHAnsi"/>
          <w:color w:val="000000"/>
        </w:rPr>
      </w:pPr>
    </w:p>
    <w:p w:rsidR="001F6F37" w:rsidRPr="0008671E" w:rsidRDefault="001F6F37" w:rsidP="001F6F37">
      <w:pPr>
        <w:autoSpaceDE w:val="0"/>
        <w:autoSpaceDN w:val="0"/>
        <w:adjustRightInd w:val="0"/>
        <w:jc w:val="both"/>
        <w:rPr>
          <w:rFonts w:asciiTheme="minorHAnsi" w:hAnsiTheme="minorHAnsi" w:cstheme="minorHAnsi"/>
          <w:color w:val="000000"/>
        </w:rPr>
      </w:pPr>
      <w:r w:rsidRPr="0008671E">
        <w:rPr>
          <w:rFonts w:asciiTheme="minorHAnsi" w:hAnsiTheme="minorHAnsi" w:cstheme="minorHAnsi"/>
          <w:color w:val="000000"/>
        </w:rPr>
        <w:t xml:space="preserve">An indicative list of information to be included in a rulebook is set out below: </w:t>
      </w:r>
    </w:p>
    <w:p w:rsidR="001F6F37" w:rsidRPr="0008671E" w:rsidRDefault="001F6F37" w:rsidP="001F6F37">
      <w:pPr>
        <w:autoSpaceDE w:val="0"/>
        <w:autoSpaceDN w:val="0"/>
        <w:adjustRightInd w:val="0"/>
        <w:jc w:val="both"/>
        <w:rPr>
          <w:rFonts w:asciiTheme="minorHAnsi" w:hAnsiTheme="minorHAnsi" w:cstheme="minorHAnsi"/>
          <w:color w:val="000000"/>
        </w:rPr>
      </w:pPr>
    </w:p>
    <w:p w:rsidR="001F6F37" w:rsidRPr="0008671E" w:rsidRDefault="001F6F37" w:rsidP="005D7071">
      <w:pPr>
        <w:pStyle w:val="ListParagraph"/>
        <w:numPr>
          <w:ilvl w:val="0"/>
          <w:numId w:val="27"/>
        </w:numPr>
        <w:autoSpaceDE w:val="0"/>
        <w:autoSpaceDN w:val="0"/>
        <w:adjustRightInd w:val="0"/>
        <w:spacing w:after="0"/>
        <w:jc w:val="both"/>
        <w:rPr>
          <w:rFonts w:asciiTheme="minorHAnsi" w:hAnsiTheme="minorHAnsi" w:cstheme="minorHAnsi"/>
          <w:color w:val="000000"/>
          <w:sz w:val="24"/>
          <w:szCs w:val="24"/>
          <w:lang w:val="en-US"/>
        </w:rPr>
      </w:pPr>
      <w:r w:rsidRPr="0008671E">
        <w:rPr>
          <w:rFonts w:asciiTheme="minorHAnsi" w:hAnsiTheme="minorHAnsi" w:cstheme="minorHAnsi"/>
          <w:color w:val="000000"/>
          <w:sz w:val="24"/>
          <w:szCs w:val="24"/>
          <w:lang w:val="en-US"/>
        </w:rPr>
        <w:t>a</w:t>
      </w:r>
      <w:r w:rsidRPr="0008671E">
        <w:rPr>
          <w:rFonts w:asciiTheme="minorHAnsi" w:eastAsia="Times New Roman" w:hAnsiTheme="minorHAnsi" w:cstheme="minorHAnsi"/>
          <w:bCs/>
          <w:sz w:val="24"/>
          <w:szCs w:val="24"/>
          <w:lang w:val="en-GB" w:eastAsia="el-GR"/>
        </w:rPr>
        <w:t xml:space="preserve"> general description of the proposed order book (how market participants can access the order book,  how orders are received and matched, price formation, how trade/transaction reporting by participants is effected, how executed transactions are transmitted to a settlement system/clearing house and the technology behind all of the forgoing); </w:t>
      </w:r>
    </w:p>
    <w:p w:rsidR="001F6F37" w:rsidRPr="0008671E" w:rsidRDefault="001F6F37" w:rsidP="005D7071">
      <w:pPr>
        <w:pStyle w:val="ListParagraph"/>
        <w:numPr>
          <w:ilvl w:val="0"/>
          <w:numId w:val="27"/>
        </w:numPr>
        <w:autoSpaceDE w:val="0"/>
        <w:autoSpaceDN w:val="0"/>
        <w:adjustRightInd w:val="0"/>
        <w:spacing w:after="0"/>
        <w:jc w:val="both"/>
        <w:rPr>
          <w:rFonts w:asciiTheme="minorHAnsi" w:hAnsiTheme="minorHAnsi" w:cstheme="minorHAnsi"/>
          <w:color w:val="000000"/>
          <w:sz w:val="24"/>
          <w:szCs w:val="24"/>
        </w:rPr>
      </w:pPr>
      <w:r w:rsidRPr="0008671E">
        <w:rPr>
          <w:rFonts w:asciiTheme="minorHAnsi" w:hAnsiTheme="minorHAnsi" w:cstheme="minorHAnsi"/>
          <w:color w:val="000000"/>
          <w:sz w:val="24"/>
          <w:szCs w:val="24"/>
        </w:rPr>
        <w:t xml:space="preserve">participant eligibility criteria; </w:t>
      </w:r>
    </w:p>
    <w:p w:rsidR="001F6F37" w:rsidRPr="0008671E" w:rsidRDefault="001F6F37" w:rsidP="005D7071">
      <w:pPr>
        <w:pStyle w:val="ListParagraph"/>
        <w:numPr>
          <w:ilvl w:val="0"/>
          <w:numId w:val="27"/>
        </w:numPr>
        <w:autoSpaceDE w:val="0"/>
        <w:autoSpaceDN w:val="0"/>
        <w:adjustRightInd w:val="0"/>
        <w:spacing w:after="0"/>
        <w:jc w:val="both"/>
        <w:rPr>
          <w:rFonts w:asciiTheme="minorHAnsi" w:hAnsiTheme="minorHAnsi" w:cstheme="minorHAnsi"/>
          <w:color w:val="000000"/>
          <w:sz w:val="24"/>
          <w:szCs w:val="24"/>
        </w:rPr>
      </w:pPr>
      <w:r w:rsidRPr="0008671E">
        <w:rPr>
          <w:rFonts w:asciiTheme="minorHAnsi" w:hAnsiTheme="minorHAnsi" w:cstheme="minorHAnsi"/>
          <w:color w:val="000000"/>
          <w:sz w:val="24"/>
          <w:szCs w:val="24"/>
        </w:rPr>
        <w:t xml:space="preserve">participant obligations; </w:t>
      </w:r>
    </w:p>
    <w:p w:rsidR="001F6F37" w:rsidRPr="0008671E" w:rsidRDefault="001F6F37" w:rsidP="005D7071">
      <w:pPr>
        <w:pStyle w:val="ListParagraph"/>
        <w:numPr>
          <w:ilvl w:val="0"/>
          <w:numId w:val="27"/>
        </w:numPr>
        <w:autoSpaceDE w:val="0"/>
        <w:autoSpaceDN w:val="0"/>
        <w:adjustRightInd w:val="0"/>
        <w:spacing w:after="0"/>
        <w:jc w:val="both"/>
        <w:rPr>
          <w:rFonts w:asciiTheme="minorHAnsi" w:hAnsiTheme="minorHAnsi" w:cstheme="minorHAnsi"/>
          <w:color w:val="000000"/>
          <w:sz w:val="24"/>
          <w:szCs w:val="24"/>
        </w:rPr>
      </w:pPr>
      <w:r w:rsidRPr="0008671E">
        <w:rPr>
          <w:rFonts w:asciiTheme="minorHAnsi" w:hAnsiTheme="minorHAnsi" w:cstheme="minorHAnsi"/>
          <w:color w:val="000000"/>
          <w:sz w:val="24"/>
          <w:szCs w:val="24"/>
        </w:rPr>
        <w:t xml:space="preserve">instrument eligibility criteria; </w:t>
      </w:r>
    </w:p>
    <w:p w:rsidR="001F6F37" w:rsidRPr="0008671E" w:rsidRDefault="001F6F37" w:rsidP="005D7071">
      <w:pPr>
        <w:pStyle w:val="ListParagraph"/>
        <w:numPr>
          <w:ilvl w:val="0"/>
          <w:numId w:val="27"/>
        </w:numPr>
        <w:autoSpaceDE w:val="0"/>
        <w:autoSpaceDN w:val="0"/>
        <w:adjustRightInd w:val="0"/>
        <w:spacing w:after="0"/>
        <w:jc w:val="both"/>
        <w:rPr>
          <w:rFonts w:asciiTheme="minorHAnsi" w:hAnsiTheme="minorHAnsi" w:cstheme="minorHAnsi"/>
          <w:color w:val="000000"/>
          <w:sz w:val="24"/>
          <w:szCs w:val="24"/>
          <w:lang w:val="en-US"/>
        </w:rPr>
      </w:pPr>
      <w:r w:rsidRPr="0008671E">
        <w:rPr>
          <w:rFonts w:asciiTheme="minorHAnsi" w:eastAsia="Times New Roman" w:hAnsiTheme="minorHAnsi" w:cstheme="minorHAnsi"/>
          <w:bCs/>
          <w:sz w:val="24"/>
          <w:szCs w:val="24"/>
          <w:lang w:val="en-GB" w:eastAsia="el-GR"/>
        </w:rPr>
        <w:t>location and trading hours of the trading platform;</w:t>
      </w:r>
      <w:r w:rsidRPr="0008671E">
        <w:rPr>
          <w:rFonts w:asciiTheme="minorHAnsi" w:hAnsiTheme="minorHAnsi" w:cstheme="minorHAnsi"/>
          <w:color w:val="000000"/>
          <w:sz w:val="24"/>
          <w:szCs w:val="24"/>
          <w:lang w:val="en-US"/>
        </w:rPr>
        <w:t xml:space="preserve"> </w:t>
      </w:r>
    </w:p>
    <w:p w:rsidR="001F6F37" w:rsidRPr="0008671E" w:rsidRDefault="001F6F37" w:rsidP="005D7071">
      <w:pPr>
        <w:pStyle w:val="ListParagraph"/>
        <w:numPr>
          <w:ilvl w:val="0"/>
          <w:numId w:val="27"/>
        </w:numPr>
        <w:autoSpaceDE w:val="0"/>
        <w:autoSpaceDN w:val="0"/>
        <w:adjustRightInd w:val="0"/>
        <w:spacing w:after="0"/>
        <w:jc w:val="both"/>
        <w:rPr>
          <w:rFonts w:asciiTheme="minorHAnsi" w:hAnsiTheme="minorHAnsi" w:cstheme="minorHAnsi"/>
          <w:color w:val="000000"/>
          <w:sz w:val="24"/>
          <w:szCs w:val="24"/>
          <w:lang w:val="en-US"/>
        </w:rPr>
      </w:pPr>
      <w:r w:rsidRPr="0008671E">
        <w:rPr>
          <w:rFonts w:asciiTheme="minorHAnsi" w:hAnsiTheme="minorHAnsi" w:cstheme="minorHAnsi"/>
          <w:color w:val="000000"/>
          <w:sz w:val="24"/>
          <w:szCs w:val="24"/>
          <w:lang w:val="en-US"/>
        </w:rPr>
        <w:t xml:space="preserve">fair and orderly trading rules; </w:t>
      </w:r>
    </w:p>
    <w:p w:rsidR="001F6F37" w:rsidRPr="0008671E" w:rsidRDefault="001F6F37" w:rsidP="005D7071">
      <w:pPr>
        <w:pStyle w:val="ListParagraph"/>
        <w:numPr>
          <w:ilvl w:val="0"/>
          <w:numId w:val="27"/>
        </w:numPr>
        <w:autoSpaceDE w:val="0"/>
        <w:autoSpaceDN w:val="0"/>
        <w:adjustRightInd w:val="0"/>
        <w:spacing w:after="0"/>
        <w:jc w:val="both"/>
        <w:rPr>
          <w:rFonts w:asciiTheme="minorHAnsi" w:hAnsiTheme="minorHAnsi" w:cstheme="minorHAnsi"/>
          <w:color w:val="000000"/>
          <w:sz w:val="24"/>
          <w:szCs w:val="24"/>
        </w:rPr>
      </w:pPr>
      <w:r w:rsidRPr="0008671E">
        <w:rPr>
          <w:rFonts w:asciiTheme="minorHAnsi" w:hAnsiTheme="minorHAnsi" w:cstheme="minorHAnsi"/>
          <w:color w:val="000000"/>
          <w:sz w:val="24"/>
          <w:szCs w:val="24"/>
        </w:rPr>
        <w:t xml:space="preserve">clearing and settlement arrangements; </w:t>
      </w:r>
    </w:p>
    <w:p w:rsidR="001F6F37" w:rsidRPr="0008671E" w:rsidRDefault="001F6F37" w:rsidP="005D7071">
      <w:pPr>
        <w:pStyle w:val="ListParagraph"/>
        <w:numPr>
          <w:ilvl w:val="0"/>
          <w:numId w:val="27"/>
        </w:numPr>
        <w:autoSpaceDE w:val="0"/>
        <w:autoSpaceDN w:val="0"/>
        <w:adjustRightInd w:val="0"/>
        <w:spacing w:after="0"/>
        <w:jc w:val="both"/>
        <w:rPr>
          <w:rFonts w:asciiTheme="minorHAnsi" w:hAnsiTheme="minorHAnsi" w:cstheme="minorHAnsi"/>
          <w:color w:val="000000"/>
          <w:sz w:val="24"/>
          <w:szCs w:val="24"/>
        </w:rPr>
      </w:pPr>
      <w:r w:rsidRPr="0008671E">
        <w:rPr>
          <w:rFonts w:asciiTheme="minorHAnsi" w:hAnsiTheme="minorHAnsi" w:cstheme="minorHAnsi"/>
          <w:color w:val="000000"/>
          <w:sz w:val="24"/>
          <w:szCs w:val="24"/>
        </w:rPr>
        <w:t xml:space="preserve">market abuse prohibition rules; </w:t>
      </w:r>
    </w:p>
    <w:p w:rsidR="001F6F37" w:rsidRPr="0008671E" w:rsidRDefault="001F6F37" w:rsidP="005D7071">
      <w:pPr>
        <w:pStyle w:val="ListParagraph"/>
        <w:numPr>
          <w:ilvl w:val="0"/>
          <w:numId w:val="27"/>
        </w:numPr>
        <w:autoSpaceDE w:val="0"/>
        <w:autoSpaceDN w:val="0"/>
        <w:adjustRightInd w:val="0"/>
        <w:spacing w:after="0"/>
        <w:jc w:val="both"/>
        <w:rPr>
          <w:rFonts w:asciiTheme="minorHAnsi" w:hAnsiTheme="minorHAnsi" w:cstheme="minorHAnsi"/>
          <w:color w:val="000000"/>
          <w:sz w:val="24"/>
          <w:szCs w:val="24"/>
        </w:rPr>
      </w:pPr>
      <w:r w:rsidRPr="0008671E">
        <w:rPr>
          <w:rFonts w:asciiTheme="minorHAnsi" w:hAnsiTheme="minorHAnsi" w:cstheme="minorHAnsi"/>
          <w:color w:val="000000"/>
          <w:sz w:val="24"/>
          <w:szCs w:val="24"/>
        </w:rPr>
        <w:t xml:space="preserve">post-trade obligations; </w:t>
      </w:r>
    </w:p>
    <w:p w:rsidR="001F6F37" w:rsidRPr="0008671E" w:rsidRDefault="001F6F37" w:rsidP="005D7071">
      <w:pPr>
        <w:pStyle w:val="ListParagraph"/>
        <w:numPr>
          <w:ilvl w:val="0"/>
          <w:numId w:val="27"/>
        </w:numPr>
        <w:autoSpaceDE w:val="0"/>
        <w:autoSpaceDN w:val="0"/>
        <w:adjustRightInd w:val="0"/>
        <w:spacing w:after="0"/>
        <w:jc w:val="both"/>
        <w:rPr>
          <w:rFonts w:asciiTheme="minorHAnsi" w:hAnsiTheme="minorHAnsi" w:cstheme="minorHAnsi"/>
          <w:color w:val="000000"/>
          <w:sz w:val="24"/>
          <w:szCs w:val="24"/>
          <w:lang w:val="en-US"/>
        </w:rPr>
      </w:pPr>
      <w:r w:rsidRPr="0008671E">
        <w:rPr>
          <w:rFonts w:asciiTheme="minorHAnsi" w:eastAsia="Times New Roman" w:hAnsiTheme="minorHAnsi" w:cstheme="minorHAnsi"/>
          <w:bCs/>
          <w:sz w:val="24"/>
          <w:szCs w:val="24"/>
          <w:lang w:val="en-GB" w:eastAsia="el-GR"/>
        </w:rPr>
        <w:t>pre and post trade transparency information available and dissemination arrangements;</w:t>
      </w:r>
    </w:p>
    <w:p w:rsidR="001F6F37" w:rsidRPr="0008671E" w:rsidRDefault="001F6F37" w:rsidP="005D7071">
      <w:pPr>
        <w:pStyle w:val="ListParagraph"/>
        <w:numPr>
          <w:ilvl w:val="0"/>
          <w:numId w:val="27"/>
        </w:numPr>
        <w:autoSpaceDE w:val="0"/>
        <w:autoSpaceDN w:val="0"/>
        <w:adjustRightInd w:val="0"/>
        <w:spacing w:after="0"/>
        <w:jc w:val="both"/>
        <w:rPr>
          <w:rFonts w:asciiTheme="minorHAnsi" w:hAnsiTheme="minorHAnsi" w:cstheme="minorHAnsi"/>
          <w:color w:val="000000"/>
          <w:sz w:val="24"/>
          <w:szCs w:val="24"/>
        </w:rPr>
      </w:pPr>
      <w:r w:rsidRPr="0008671E">
        <w:rPr>
          <w:rFonts w:asciiTheme="minorHAnsi" w:hAnsiTheme="minorHAnsi" w:cstheme="minorHAnsi"/>
          <w:color w:val="000000"/>
          <w:sz w:val="24"/>
          <w:szCs w:val="24"/>
        </w:rPr>
        <w:t xml:space="preserve">compliance, monitoring &amp; sanctions; </w:t>
      </w:r>
    </w:p>
    <w:p w:rsidR="001F6F37" w:rsidRPr="0008671E" w:rsidRDefault="001F6F37" w:rsidP="005D7071">
      <w:pPr>
        <w:pStyle w:val="ListParagraph"/>
        <w:numPr>
          <w:ilvl w:val="0"/>
          <w:numId w:val="27"/>
        </w:numPr>
        <w:autoSpaceDE w:val="0"/>
        <w:autoSpaceDN w:val="0"/>
        <w:adjustRightInd w:val="0"/>
        <w:spacing w:after="0"/>
        <w:jc w:val="both"/>
        <w:rPr>
          <w:rFonts w:asciiTheme="minorHAnsi" w:hAnsiTheme="minorHAnsi" w:cstheme="minorHAnsi"/>
          <w:color w:val="000000"/>
          <w:sz w:val="24"/>
          <w:szCs w:val="24"/>
        </w:rPr>
      </w:pPr>
      <w:r w:rsidRPr="0008671E">
        <w:rPr>
          <w:rFonts w:asciiTheme="minorHAnsi" w:hAnsiTheme="minorHAnsi" w:cstheme="minorHAnsi"/>
          <w:color w:val="000000"/>
          <w:sz w:val="24"/>
          <w:szCs w:val="24"/>
        </w:rPr>
        <w:t xml:space="preserve">definitions / glossary of terms;  </w:t>
      </w:r>
    </w:p>
    <w:p w:rsidR="001F6F37" w:rsidRPr="0008671E" w:rsidRDefault="001F6F37" w:rsidP="005D7071">
      <w:pPr>
        <w:pStyle w:val="ListParagraph"/>
        <w:numPr>
          <w:ilvl w:val="0"/>
          <w:numId w:val="27"/>
        </w:numPr>
        <w:autoSpaceDE w:val="0"/>
        <w:autoSpaceDN w:val="0"/>
        <w:adjustRightInd w:val="0"/>
        <w:spacing w:after="0"/>
        <w:jc w:val="both"/>
        <w:rPr>
          <w:rFonts w:asciiTheme="minorHAnsi" w:hAnsiTheme="minorHAnsi" w:cstheme="minorHAnsi"/>
          <w:color w:val="000000"/>
          <w:sz w:val="24"/>
          <w:szCs w:val="24"/>
        </w:rPr>
      </w:pPr>
      <w:r w:rsidRPr="0008671E">
        <w:rPr>
          <w:rFonts w:asciiTheme="minorHAnsi" w:hAnsiTheme="minorHAnsi" w:cstheme="minorHAnsi"/>
          <w:color w:val="000000"/>
          <w:sz w:val="24"/>
          <w:szCs w:val="24"/>
        </w:rPr>
        <w:t>co-operation with regulators; and</w:t>
      </w:r>
    </w:p>
    <w:p w:rsidR="001F6F37" w:rsidRPr="0008671E" w:rsidRDefault="001F6F37" w:rsidP="005D7071">
      <w:pPr>
        <w:pStyle w:val="ListParagraph"/>
        <w:numPr>
          <w:ilvl w:val="0"/>
          <w:numId w:val="27"/>
        </w:numPr>
        <w:autoSpaceDE w:val="0"/>
        <w:autoSpaceDN w:val="0"/>
        <w:adjustRightInd w:val="0"/>
        <w:spacing w:after="0"/>
        <w:jc w:val="both"/>
        <w:rPr>
          <w:rFonts w:asciiTheme="minorHAnsi" w:hAnsiTheme="minorHAnsi" w:cstheme="minorHAnsi"/>
          <w:color w:val="000000"/>
          <w:sz w:val="24"/>
          <w:szCs w:val="24"/>
          <w:lang w:val="en-US"/>
        </w:rPr>
      </w:pPr>
      <w:r w:rsidRPr="0008671E">
        <w:rPr>
          <w:rFonts w:asciiTheme="minorHAnsi" w:hAnsiTheme="minorHAnsi" w:cstheme="minorHAnsi"/>
          <w:color w:val="000000"/>
          <w:sz w:val="24"/>
          <w:szCs w:val="24"/>
          <w:lang w:val="en-US"/>
        </w:rPr>
        <w:t>procedures for consultation, communication and implementation of rule changes.</w:t>
      </w:r>
    </w:p>
    <w:p w:rsidR="00347052" w:rsidRDefault="00347052" w:rsidP="001F6F37">
      <w:pPr>
        <w:autoSpaceDE w:val="0"/>
        <w:autoSpaceDN w:val="0"/>
        <w:adjustRightInd w:val="0"/>
        <w:jc w:val="both"/>
        <w:rPr>
          <w:rFonts w:asciiTheme="minorHAnsi" w:hAnsiTheme="minorHAnsi" w:cstheme="minorHAnsi"/>
          <w:color w:val="000000"/>
        </w:rPr>
      </w:pPr>
    </w:p>
    <w:p w:rsidR="00347052" w:rsidRDefault="00347052" w:rsidP="001F6F37">
      <w:pPr>
        <w:autoSpaceDE w:val="0"/>
        <w:autoSpaceDN w:val="0"/>
        <w:adjustRightInd w:val="0"/>
        <w:jc w:val="both"/>
        <w:rPr>
          <w:rFonts w:asciiTheme="minorHAnsi" w:hAnsiTheme="minorHAnsi" w:cstheme="minorHAnsi"/>
          <w:color w:val="000000"/>
        </w:rPr>
      </w:pPr>
    </w:p>
    <w:p w:rsidR="00347052" w:rsidRDefault="00347052" w:rsidP="001F6F37">
      <w:pPr>
        <w:autoSpaceDE w:val="0"/>
        <w:autoSpaceDN w:val="0"/>
        <w:adjustRightInd w:val="0"/>
        <w:jc w:val="both"/>
        <w:rPr>
          <w:rFonts w:asciiTheme="minorHAnsi" w:hAnsiTheme="minorHAnsi" w:cstheme="minorHAnsi"/>
          <w:color w:val="000000"/>
        </w:rPr>
      </w:pPr>
    </w:p>
    <w:p w:rsidR="001F6F37" w:rsidRPr="0008671E" w:rsidRDefault="001F6F37" w:rsidP="001F6F37">
      <w:pPr>
        <w:autoSpaceDE w:val="0"/>
        <w:autoSpaceDN w:val="0"/>
        <w:adjustRightInd w:val="0"/>
        <w:jc w:val="both"/>
        <w:rPr>
          <w:rFonts w:asciiTheme="minorHAnsi" w:hAnsiTheme="minorHAnsi" w:cstheme="minorHAnsi"/>
          <w:color w:val="000000"/>
        </w:rPr>
      </w:pPr>
      <w:r w:rsidRPr="0008671E">
        <w:rPr>
          <w:rFonts w:asciiTheme="minorHAnsi" w:hAnsiTheme="minorHAnsi" w:cstheme="minorHAnsi"/>
          <w:color w:val="000000"/>
        </w:rPr>
        <w:lastRenderedPageBreak/>
        <w:t>It is also recommended that every member of the MTF during its registration should confirm that they have read, understood and will comply with the MTF rulebook.</w:t>
      </w:r>
      <w:r w:rsidRPr="0008671E">
        <w:rPr>
          <w:rFonts w:asciiTheme="minorHAnsi" w:hAnsiTheme="minorHAnsi" w:cstheme="minorHAnsi"/>
          <w:color w:val="000000"/>
          <w:highlight w:val="yellow"/>
        </w:rPr>
        <w:t xml:space="preserve"> </w:t>
      </w:r>
    </w:p>
    <w:p w:rsidR="001F6F37" w:rsidRPr="0008671E" w:rsidRDefault="001F6F37" w:rsidP="001F6F37">
      <w:pPr>
        <w:autoSpaceDE w:val="0"/>
        <w:autoSpaceDN w:val="0"/>
        <w:adjustRightInd w:val="0"/>
        <w:jc w:val="both"/>
        <w:rPr>
          <w:rFonts w:asciiTheme="minorHAnsi" w:hAnsiTheme="minorHAnsi" w:cstheme="minorHAnsi"/>
          <w:color w:val="000000"/>
          <w:highlight w:val="yellow"/>
        </w:rPr>
      </w:pPr>
    </w:p>
    <w:p w:rsidR="001F6F37" w:rsidRPr="0008671E" w:rsidRDefault="001F6F37" w:rsidP="001F6F37">
      <w:pPr>
        <w:autoSpaceDE w:val="0"/>
        <w:autoSpaceDN w:val="0"/>
        <w:adjustRightInd w:val="0"/>
        <w:jc w:val="both"/>
        <w:rPr>
          <w:rFonts w:asciiTheme="minorHAnsi" w:hAnsiTheme="minorHAnsi" w:cstheme="minorHAnsi"/>
          <w:color w:val="000000"/>
        </w:rPr>
      </w:pPr>
      <w:r w:rsidRPr="0008671E">
        <w:rPr>
          <w:rFonts w:asciiTheme="minorHAnsi" w:hAnsiTheme="minorHAnsi" w:cstheme="minorHAnsi"/>
          <w:color w:val="000000"/>
        </w:rPr>
        <w:t xml:space="preserve">In circumstances where the MTF operator also offers non-MTF transactional services the firm should ensure that its user agreements clearly distinguish between MTF and non-MTF business so that participants have clarity as to when a transaction is conducted on the MTF and the MTF’s rules apply. </w:t>
      </w:r>
    </w:p>
    <w:p w:rsidR="001F6F37" w:rsidRPr="0008671E" w:rsidRDefault="001F6F37" w:rsidP="001F6F37">
      <w:pPr>
        <w:autoSpaceDE w:val="0"/>
        <w:autoSpaceDN w:val="0"/>
        <w:adjustRightInd w:val="0"/>
        <w:jc w:val="both"/>
        <w:rPr>
          <w:rFonts w:asciiTheme="minorHAnsi" w:hAnsiTheme="minorHAnsi" w:cstheme="minorHAnsi"/>
          <w:color w:val="000000"/>
        </w:rPr>
      </w:pPr>
    </w:p>
    <w:p w:rsidR="001F6F37" w:rsidRPr="0008671E" w:rsidRDefault="001F6F37" w:rsidP="001F6F37">
      <w:pPr>
        <w:autoSpaceDE w:val="0"/>
        <w:autoSpaceDN w:val="0"/>
        <w:adjustRightInd w:val="0"/>
        <w:jc w:val="both"/>
        <w:rPr>
          <w:rFonts w:asciiTheme="minorHAnsi" w:hAnsiTheme="minorHAnsi" w:cstheme="minorHAnsi"/>
          <w:color w:val="000000"/>
        </w:rPr>
      </w:pPr>
      <w:r w:rsidRPr="0008671E">
        <w:rPr>
          <w:rFonts w:asciiTheme="minorHAnsi" w:hAnsiTheme="minorHAnsi" w:cstheme="minorHAnsi"/>
          <w:color w:val="000000"/>
        </w:rPr>
        <w:t xml:space="preserve">As part of an MTF operator’s responsibility to allow for fair and orderly trading it is good practice for an MTF to ensure that its fees and incentive schemes relating to access to and execution on the MTF should be based on objective criteria. Fees and incentive schemes should not encourage trading for improper purposes and should not distort or reduce the effectiveness of the price formation process. </w:t>
      </w:r>
    </w:p>
    <w:p w:rsidR="001F6F37" w:rsidRPr="0008671E" w:rsidRDefault="001F6F37" w:rsidP="001F6F37">
      <w:pPr>
        <w:autoSpaceDE w:val="0"/>
        <w:autoSpaceDN w:val="0"/>
        <w:adjustRightInd w:val="0"/>
        <w:jc w:val="both"/>
        <w:rPr>
          <w:rFonts w:asciiTheme="minorHAnsi" w:hAnsiTheme="minorHAnsi" w:cstheme="minorHAnsi"/>
          <w:color w:val="000000"/>
        </w:rPr>
      </w:pPr>
    </w:p>
    <w:p w:rsidR="001F6F37" w:rsidRPr="0008671E" w:rsidRDefault="001F6F37" w:rsidP="001F6F37">
      <w:pPr>
        <w:jc w:val="both"/>
        <w:rPr>
          <w:rFonts w:asciiTheme="minorHAnsi" w:hAnsiTheme="minorHAnsi" w:cstheme="minorHAnsi"/>
          <w:b/>
          <w:color w:val="000000"/>
        </w:rPr>
      </w:pPr>
      <w:r w:rsidRPr="0008671E">
        <w:rPr>
          <w:rFonts w:asciiTheme="minorHAnsi" w:hAnsiTheme="minorHAnsi" w:cstheme="minorHAnsi"/>
          <w:b/>
          <w:color w:val="000000"/>
        </w:rPr>
        <w:t xml:space="preserve">Paragraph 2.1.2 </w:t>
      </w:r>
      <w:r w:rsidRPr="0008671E">
        <w:rPr>
          <w:rFonts w:asciiTheme="minorHAnsi" w:hAnsiTheme="minorHAnsi" w:cstheme="minorHAnsi"/>
          <w:b/>
          <w:bCs/>
          <w:color w:val="000000"/>
        </w:rPr>
        <w:t>“</w:t>
      </w:r>
      <w:r w:rsidRPr="0008671E">
        <w:rPr>
          <w:rFonts w:asciiTheme="minorHAnsi" w:hAnsiTheme="minorHAnsi" w:cstheme="minorHAnsi"/>
          <w:b/>
          <w:bCs/>
          <w:i/>
          <w:iCs/>
          <w:color w:val="000000"/>
        </w:rPr>
        <w:t xml:space="preserve">Transparent rules regarding the criteria for determining the financial instruments that can be traded under its systems.” </w:t>
      </w:r>
    </w:p>
    <w:p w:rsidR="001F6F37" w:rsidRPr="0008671E" w:rsidRDefault="001F6F37" w:rsidP="001F6F37">
      <w:pPr>
        <w:autoSpaceDE w:val="0"/>
        <w:autoSpaceDN w:val="0"/>
        <w:adjustRightInd w:val="0"/>
        <w:jc w:val="both"/>
        <w:rPr>
          <w:rFonts w:asciiTheme="minorHAnsi" w:hAnsiTheme="minorHAnsi" w:cstheme="minorHAnsi"/>
          <w:color w:val="000000"/>
        </w:rPr>
      </w:pPr>
      <w:r w:rsidRPr="0008671E">
        <w:rPr>
          <w:rFonts w:asciiTheme="minorHAnsi" w:hAnsiTheme="minorHAnsi" w:cstheme="minorHAnsi"/>
          <w:color w:val="000000"/>
        </w:rPr>
        <w:t xml:space="preserve">An MTF’s rulebook should contain transparent instrument eligibility criteria. Such criteria should offer clarity to participants as to the type and nature of financial instruments capable of admission to trading on the MTF. If possible, in addition to such criteria a full list of instruments should be provided, or there should be access to sufficient information in relation to such instruments that will enable participants to determine whether a particular instrument can be traded on the MTF e.g. via a system search facility. </w:t>
      </w:r>
    </w:p>
    <w:p w:rsidR="001F6F37" w:rsidRPr="0008671E" w:rsidRDefault="001F6F37" w:rsidP="001F6F37">
      <w:pPr>
        <w:autoSpaceDE w:val="0"/>
        <w:autoSpaceDN w:val="0"/>
        <w:adjustRightInd w:val="0"/>
        <w:jc w:val="both"/>
        <w:rPr>
          <w:rFonts w:asciiTheme="minorHAnsi" w:hAnsiTheme="minorHAnsi" w:cstheme="minorHAnsi"/>
          <w:color w:val="000000"/>
        </w:rPr>
      </w:pPr>
    </w:p>
    <w:p w:rsidR="001F6F37" w:rsidRPr="0008671E" w:rsidRDefault="001F6F37" w:rsidP="001F6F37">
      <w:pPr>
        <w:autoSpaceDE w:val="0"/>
        <w:autoSpaceDN w:val="0"/>
        <w:adjustRightInd w:val="0"/>
        <w:jc w:val="both"/>
        <w:rPr>
          <w:rFonts w:asciiTheme="minorHAnsi" w:hAnsiTheme="minorHAnsi" w:cstheme="minorHAnsi"/>
          <w:b/>
          <w:bCs/>
          <w:i/>
          <w:iCs/>
          <w:color w:val="000000"/>
        </w:rPr>
      </w:pPr>
      <w:r w:rsidRPr="0008671E">
        <w:rPr>
          <w:rFonts w:asciiTheme="minorHAnsi" w:hAnsiTheme="minorHAnsi" w:cstheme="minorHAnsi"/>
          <w:b/>
          <w:bCs/>
          <w:color w:val="000000"/>
        </w:rPr>
        <w:t xml:space="preserve">Paragraph 2.1.3 </w:t>
      </w:r>
      <w:r w:rsidRPr="0008671E">
        <w:rPr>
          <w:rFonts w:asciiTheme="minorHAnsi" w:hAnsiTheme="minorHAnsi" w:cstheme="minorHAnsi"/>
          <w:b/>
          <w:bCs/>
          <w:i/>
          <w:iCs/>
          <w:color w:val="000000"/>
        </w:rPr>
        <w:t xml:space="preserve">“Transparent rules, based on objective criteria, governing access to the MTF facility and that the applicant has ensured that the rules comply with the conditions and requirements established under Section 106 (3) of the Law.” </w:t>
      </w:r>
    </w:p>
    <w:p w:rsidR="001F6F37" w:rsidRPr="0008671E" w:rsidRDefault="001F6F37" w:rsidP="001F6F37">
      <w:pPr>
        <w:autoSpaceDE w:val="0"/>
        <w:autoSpaceDN w:val="0"/>
        <w:adjustRightInd w:val="0"/>
        <w:jc w:val="both"/>
        <w:rPr>
          <w:rFonts w:asciiTheme="minorHAnsi" w:hAnsiTheme="minorHAnsi" w:cstheme="minorHAnsi"/>
          <w:b/>
          <w:bCs/>
          <w:i/>
          <w:iCs/>
          <w:color w:val="000000"/>
        </w:rPr>
      </w:pPr>
    </w:p>
    <w:p w:rsidR="001F6F37" w:rsidRPr="0008671E" w:rsidRDefault="001F6F37" w:rsidP="001F6F37">
      <w:pPr>
        <w:autoSpaceDE w:val="0"/>
        <w:autoSpaceDN w:val="0"/>
        <w:adjustRightInd w:val="0"/>
        <w:jc w:val="both"/>
        <w:rPr>
          <w:rFonts w:asciiTheme="minorHAnsi" w:hAnsiTheme="minorHAnsi" w:cstheme="minorHAnsi"/>
          <w:color w:val="000000"/>
        </w:rPr>
      </w:pPr>
      <w:r w:rsidRPr="0008671E">
        <w:rPr>
          <w:rFonts w:asciiTheme="minorHAnsi" w:hAnsiTheme="minorHAnsi" w:cstheme="minorHAnsi"/>
          <w:color w:val="000000"/>
        </w:rPr>
        <w:t xml:space="preserve">The rulebook will provide that the eligibility criteria of the MTF’s members or participants, who are CIFs, remaining IFs and other persons, ensure that such members or participants: </w:t>
      </w:r>
    </w:p>
    <w:p w:rsidR="001F6F37" w:rsidRPr="0008671E" w:rsidRDefault="001F6F37" w:rsidP="001F6F37">
      <w:pPr>
        <w:autoSpaceDE w:val="0"/>
        <w:autoSpaceDN w:val="0"/>
        <w:adjustRightInd w:val="0"/>
        <w:jc w:val="both"/>
        <w:rPr>
          <w:rFonts w:asciiTheme="minorHAnsi" w:hAnsiTheme="minorHAnsi" w:cstheme="minorHAnsi"/>
          <w:color w:val="000000"/>
        </w:rPr>
      </w:pPr>
      <w:r w:rsidRPr="0008671E">
        <w:rPr>
          <w:rFonts w:asciiTheme="minorHAnsi" w:hAnsiTheme="minorHAnsi" w:cstheme="minorHAnsi"/>
          <w:color w:val="000000"/>
        </w:rPr>
        <w:t xml:space="preserve">(a) are fit and proper; </w:t>
      </w:r>
    </w:p>
    <w:p w:rsidR="001F6F37" w:rsidRPr="0008671E" w:rsidRDefault="001F6F37" w:rsidP="001F6F37">
      <w:pPr>
        <w:autoSpaceDE w:val="0"/>
        <w:autoSpaceDN w:val="0"/>
        <w:adjustRightInd w:val="0"/>
        <w:jc w:val="both"/>
        <w:rPr>
          <w:rFonts w:asciiTheme="minorHAnsi" w:hAnsiTheme="minorHAnsi" w:cstheme="minorHAnsi"/>
          <w:color w:val="000000"/>
        </w:rPr>
      </w:pPr>
      <w:r w:rsidRPr="0008671E">
        <w:rPr>
          <w:rFonts w:asciiTheme="minorHAnsi" w:hAnsiTheme="minorHAnsi" w:cstheme="minorHAnsi"/>
          <w:color w:val="000000"/>
        </w:rPr>
        <w:t xml:space="preserve">(b) have a sufficient level of trading ability and competence; </w:t>
      </w:r>
    </w:p>
    <w:p w:rsidR="001F6F37" w:rsidRPr="0008671E" w:rsidRDefault="001F6F37" w:rsidP="001F6F37">
      <w:pPr>
        <w:autoSpaceDE w:val="0"/>
        <w:autoSpaceDN w:val="0"/>
        <w:adjustRightInd w:val="0"/>
        <w:jc w:val="both"/>
        <w:rPr>
          <w:rFonts w:asciiTheme="minorHAnsi" w:hAnsiTheme="minorHAnsi" w:cstheme="minorHAnsi"/>
          <w:color w:val="000000"/>
        </w:rPr>
      </w:pPr>
      <w:r w:rsidRPr="0008671E">
        <w:rPr>
          <w:rFonts w:asciiTheme="minorHAnsi" w:hAnsiTheme="minorHAnsi" w:cstheme="minorHAnsi"/>
          <w:color w:val="000000"/>
        </w:rPr>
        <w:t xml:space="preserve">(c) have, where applicable, adequate organisational arrangements; </w:t>
      </w:r>
    </w:p>
    <w:p w:rsidR="001F6F37" w:rsidRPr="0008671E" w:rsidRDefault="001F6F37" w:rsidP="001F6F37">
      <w:pPr>
        <w:autoSpaceDE w:val="0"/>
        <w:autoSpaceDN w:val="0"/>
        <w:adjustRightInd w:val="0"/>
        <w:jc w:val="both"/>
        <w:rPr>
          <w:rFonts w:asciiTheme="minorHAnsi" w:hAnsiTheme="minorHAnsi" w:cstheme="minorHAnsi"/>
          <w:color w:val="000000"/>
        </w:rPr>
      </w:pPr>
      <w:r w:rsidRPr="0008671E">
        <w:rPr>
          <w:rFonts w:asciiTheme="minorHAnsi" w:hAnsiTheme="minorHAnsi" w:cstheme="minorHAnsi"/>
          <w:color w:val="000000"/>
        </w:rPr>
        <w:t xml:space="preserve">(d) have sufficient resources for the role they are to perform, taking into account the different financial arrangements that the operator of the MTF may have established in order to guarantee the adequate settlement of transactions.” </w:t>
      </w:r>
    </w:p>
    <w:p w:rsidR="001F6F37" w:rsidRPr="0008671E" w:rsidRDefault="001F6F37" w:rsidP="001F6F37">
      <w:pPr>
        <w:autoSpaceDE w:val="0"/>
        <w:autoSpaceDN w:val="0"/>
        <w:adjustRightInd w:val="0"/>
        <w:jc w:val="both"/>
        <w:rPr>
          <w:rFonts w:asciiTheme="minorHAnsi" w:hAnsiTheme="minorHAnsi" w:cstheme="minorHAnsi"/>
          <w:b/>
          <w:bCs/>
          <w:i/>
          <w:iCs/>
          <w:color w:val="000000"/>
        </w:rPr>
      </w:pPr>
    </w:p>
    <w:p w:rsidR="001F6F37" w:rsidRPr="0008671E" w:rsidRDefault="001F6F37" w:rsidP="001F6F37">
      <w:pPr>
        <w:autoSpaceDE w:val="0"/>
        <w:autoSpaceDN w:val="0"/>
        <w:adjustRightInd w:val="0"/>
        <w:jc w:val="both"/>
        <w:rPr>
          <w:rFonts w:asciiTheme="minorHAnsi" w:hAnsiTheme="minorHAnsi" w:cstheme="minorHAnsi"/>
          <w:color w:val="000000"/>
        </w:rPr>
      </w:pPr>
      <w:r w:rsidRPr="0008671E">
        <w:rPr>
          <w:rFonts w:asciiTheme="minorHAnsi" w:hAnsiTheme="minorHAnsi" w:cstheme="minorHAnsi"/>
          <w:color w:val="000000"/>
        </w:rPr>
        <w:t>A procedure should be included in the rulebook setting out the assessment process of a participant’s compliance with these requirements and the evidence that will be requested in order to certify that such requirements are met.</w:t>
      </w:r>
    </w:p>
    <w:p w:rsidR="001F6F37" w:rsidRPr="0008671E" w:rsidRDefault="001F6F37" w:rsidP="001F6F37">
      <w:pPr>
        <w:autoSpaceDE w:val="0"/>
        <w:autoSpaceDN w:val="0"/>
        <w:adjustRightInd w:val="0"/>
        <w:jc w:val="both"/>
        <w:rPr>
          <w:rFonts w:asciiTheme="minorHAnsi" w:hAnsiTheme="minorHAnsi" w:cstheme="minorHAnsi"/>
          <w:color w:val="000000"/>
        </w:rPr>
      </w:pPr>
    </w:p>
    <w:p w:rsidR="001F6F37" w:rsidRPr="0008671E" w:rsidRDefault="001F6F37" w:rsidP="001F6F37">
      <w:pPr>
        <w:tabs>
          <w:tab w:val="left" w:pos="0"/>
          <w:tab w:val="left" w:pos="180"/>
          <w:tab w:val="left" w:pos="450"/>
        </w:tabs>
        <w:jc w:val="both"/>
        <w:rPr>
          <w:rFonts w:asciiTheme="minorHAnsi" w:hAnsiTheme="minorHAnsi" w:cstheme="minorHAnsi"/>
          <w:b/>
          <w:i/>
        </w:rPr>
      </w:pPr>
      <w:r w:rsidRPr="0008671E">
        <w:rPr>
          <w:rFonts w:asciiTheme="minorHAnsi" w:hAnsiTheme="minorHAnsi" w:cstheme="minorHAnsi"/>
          <w:b/>
          <w:i/>
        </w:rPr>
        <w:t>Paragraph 2.1.6</w:t>
      </w:r>
      <w:r w:rsidRPr="0008671E">
        <w:rPr>
          <w:rFonts w:asciiTheme="minorHAnsi" w:hAnsiTheme="minorHAnsi" w:cstheme="minorHAnsi"/>
          <w:b/>
          <w:i/>
        </w:rPr>
        <w:tab/>
        <w:t>“Effective arrangements and procedures, relevant to the MTF, for the regular monitoring of the compliance by its users with its rules.”</w:t>
      </w:r>
    </w:p>
    <w:p w:rsidR="001F6F37" w:rsidRPr="0008671E" w:rsidRDefault="001F6F37" w:rsidP="001F6F37">
      <w:pPr>
        <w:tabs>
          <w:tab w:val="left" w:pos="-90"/>
          <w:tab w:val="left" w:pos="90"/>
          <w:tab w:val="left" w:pos="360"/>
        </w:tabs>
        <w:jc w:val="both"/>
        <w:rPr>
          <w:rFonts w:asciiTheme="minorHAnsi" w:hAnsiTheme="minorHAnsi" w:cstheme="minorHAnsi"/>
          <w:b/>
          <w:i/>
        </w:rPr>
      </w:pPr>
      <w:r w:rsidRPr="0008671E">
        <w:rPr>
          <w:rFonts w:asciiTheme="minorHAnsi" w:hAnsiTheme="minorHAnsi" w:cstheme="minorHAnsi"/>
          <w:b/>
          <w:i/>
        </w:rPr>
        <w:t>Paragraph 2.1.7</w:t>
      </w:r>
      <w:r w:rsidRPr="0008671E">
        <w:rPr>
          <w:rFonts w:asciiTheme="minorHAnsi" w:hAnsiTheme="minorHAnsi" w:cstheme="minorHAnsi"/>
          <w:b/>
          <w:i/>
        </w:rPr>
        <w:tab/>
        <w:t>“Effective systems to monitor the transactions undertaken by its users under its systems in order to identify -</w:t>
      </w:r>
    </w:p>
    <w:p w:rsidR="001F6F37" w:rsidRPr="0008671E" w:rsidRDefault="001D05F6" w:rsidP="005D7071">
      <w:pPr>
        <w:pStyle w:val="ListParagraph"/>
        <w:numPr>
          <w:ilvl w:val="3"/>
          <w:numId w:val="23"/>
        </w:numPr>
        <w:tabs>
          <w:tab w:val="left" w:pos="990"/>
        </w:tabs>
        <w:spacing w:after="0"/>
        <w:ind w:left="1260"/>
        <w:contextualSpacing w:val="0"/>
        <w:jc w:val="both"/>
        <w:rPr>
          <w:rFonts w:asciiTheme="minorHAnsi" w:hAnsiTheme="minorHAnsi" w:cstheme="minorHAnsi"/>
          <w:b/>
          <w:i/>
          <w:sz w:val="24"/>
          <w:szCs w:val="24"/>
        </w:rPr>
      </w:pPr>
      <w:r w:rsidRPr="0008671E">
        <w:rPr>
          <w:rFonts w:asciiTheme="minorHAnsi" w:hAnsiTheme="minorHAnsi" w:cstheme="minorHAnsi"/>
          <w:b/>
          <w:i/>
          <w:sz w:val="24"/>
          <w:szCs w:val="24"/>
          <w:lang w:val="en-US"/>
        </w:rPr>
        <w:t xml:space="preserve"> </w:t>
      </w:r>
      <w:r w:rsidR="001F6F37" w:rsidRPr="0008671E">
        <w:rPr>
          <w:rFonts w:asciiTheme="minorHAnsi" w:hAnsiTheme="minorHAnsi" w:cstheme="minorHAnsi"/>
          <w:b/>
          <w:i/>
          <w:sz w:val="24"/>
          <w:szCs w:val="24"/>
        </w:rPr>
        <w:t>breaches of its rules</w:t>
      </w:r>
    </w:p>
    <w:p w:rsidR="001F6F37" w:rsidRPr="0008671E" w:rsidRDefault="001D05F6" w:rsidP="005D7071">
      <w:pPr>
        <w:pStyle w:val="ListParagraph"/>
        <w:numPr>
          <w:ilvl w:val="3"/>
          <w:numId w:val="23"/>
        </w:numPr>
        <w:spacing w:after="0"/>
        <w:ind w:left="1260"/>
        <w:contextualSpacing w:val="0"/>
        <w:jc w:val="both"/>
        <w:rPr>
          <w:rFonts w:asciiTheme="minorHAnsi" w:hAnsiTheme="minorHAnsi" w:cstheme="minorHAnsi"/>
          <w:b/>
          <w:i/>
          <w:sz w:val="24"/>
          <w:szCs w:val="24"/>
        </w:rPr>
      </w:pPr>
      <w:r w:rsidRPr="0008671E">
        <w:rPr>
          <w:rFonts w:asciiTheme="minorHAnsi" w:hAnsiTheme="minorHAnsi" w:cstheme="minorHAnsi"/>
          <w:b/>
          <w:i/>
          <w:sz w:val="24"/>
          <w:szCs w:val="24"/>
          <w:lang w:val="en-US"/>
        </w:rPr>
        <w:t xml:space="preserve"> </w:t>
      </w:r>
      <w:r w:rsidR="001F6F37" w:rsidRPr="0008671E">
        <w:rPr>
          <w:rFonts w:asciiTheme="minorHAnsi" w:hAnsiTheme="minorHAnsi" w:cstheme="minorHAnsi"/>
          <w:b/>
          <w:i/>
          <w:sz w:val="24"/>
          <w:szCs w:val="24"/>
        </w:rPr>
        <w:t xml:space="preserve">disorderly trading conditions; </w:t>
      </w:r>
    </w:p>
    <w:p w:rsidR="001F6F37" w:rsidRPr="0008671E" w:rsidRDefault="001D05F6" w:rsidP="005D7071">
      <w:pPr>
        <w:pStyle w:val="ListParagraph"/>
        <w:numPr>
          <w:ilvl w:val="3"/>
          <w:numId w:val="23"/>
        </w:numPr>
        <w:spacing w:after="0"/>
        <w:ind w:left="1260"/>
        <w:contextualSpacing w:val="0"/>
        <w:jc w:val="both"/>
        <w:rPr>
          <w:rFonts w:asciiTheme="minorHAnsi" w:hAnsiTheme="minorHAnsi" w:cstheme="minorHAnsi"/>
          <w:b/>
          <w:i/>
          <w:sz w:val="24"/>
          <w:szCs w:val="24"/>
          <w:lang w:val="en-US"/>
        </w:rPr>
      </w:pPr>
      <w:r w:rsidRPr="0008671E">
        <w:rPr>
          <w:rFonts w:asciiTheme="minorHAnsi" w:hAnsiTheme="minorHAnsi" w:cstheme="minorHAnsi"/>
          <w:b/>
          <w:i/>
          <w:sz w:val="24"/>
          <w:szCs w:val="24"/>
          <w:lang w:val="en-US"/>
        </w:rPr>
        <w:t xml:space="preserve"> </w:t>
      </w:r>
      <w:r w:rsidR="001F6F37" w:rsidRPr="0008671E">
        <w:rPr>
          <w:rFonts w:asciiTheme="minorHAnsi" w:hAnsiTheme="minorHAnsi" w:cstheme="minorHAnsi"/>
          <w:b/>
          <w:i/>
          <w:sz w:val="24"/>
          <w:szCs w:val="24"/>
          <w:lang w:val="en-US"/>
        </w:rPr>
        <w:t>conduct that may involve market abuse; and</w:t>
      </w:r>
    </w:p>
    <w:p w:rsidR="001F6F37" w:rsidRPr="0008671E" w:rsidRDefault="001D05F6" w:rsidP="005D7071">
      <w:pPr>
        <w:pStyle w:val="ListParagraph"/>
        <w:numPr>
          <w:ilvl w:val="3"/>
          <w:numId w:val="23"/>
        </w:numPr>
        <w:spacing w:after="0"/>
        <w:ind w:left="1260"/>
        <w:contextualSpacing w:val="0"/>
        <w:jc w:val="both"/>
        <w:rPr>
          <w:rFonts w:asciiTheme="minorHAnsi" w:hAnsiTheme="minorHAnsi" w:cstheme="minorHAnsi"/>
          <w:b/>
          <w:i/>
          <w:sz w:val="24"/>
          <w:szCs w:val="24"/>
          <w:lang w:val="en-US"/>
        </w:rPr>
      </w:pPr>
      <w:r w:rsidRPr="0008671E">
        <w:rPr>
          <w:rFonts w:asciiTheme="minorHAnsi" w:hAnsiTheme="minorHAnsi" w:cstheme="minorHAnsi"/>
          <w:b/>
          <w:i/>
          <w:sz w:val="24"/>
          <w:szCs w:val="24"/>
          <w:lang w:val="en-US"/>
        </w:rPr>
        <w:lastRenderedPageBreak/>
        <w:t xml:space="preserve"> </w:t>
      </w:r>
      <w:r w:rsidR="001F6F37" w:rsidRPr="0008671E">
        <w:rPr>
          <w:rFonts w:asciiTheme="minorHAnsi" w:hAnsiTheme="minorHAnsi" w:cstheme="minorHAnsi"/>
          <w:b/>
          <w:i/>
          <w:sz w:val="24"/>
          <w:szCs w:val="24"/>
          <w:lang w:val="en-US"/>
        </w:rPr>
        <w:t>effective procedures to ensure that it can report such instances to CySEC.”</w:t>
      </w:r>
    </w:p>
    <w:p w:rsidR="001F6F37" w:rsidRPr="0008671E" w:rsidRDefault="001F6F37" w:rsidP="001F6F37">
      <w:pPr>
        <w:autoSpaceDE w:val="0"/>
        <w:autoSpaceDN w:val="0"/>
        <w:adjustRightInd w:val="0"/>
        <w:jc w:val="both"/>
        <w:rPr>
          <w:rFonts w:asciiTheme="minorHAnsi" w:hAnsiTheme="minorHAnsi" w:cstheme="minorHAnsi"/>
          <w:color w:val="000000"/>
        </w:rPr>
      </w:pPr>
      <w:r w:rsidRPr="0008671E">
        <w:rPr>
          <w:rFonts w:asciiTheme="minorHAnsi" w:hAnsiTheme="minorHAnsi" w:cstheme="minorHAnsi"/>
          <w:color w:val="000000"/>
        </w:rPr>
        <w:tab/>
      </w:r>
    </w:p>
    <w:p w:rsidR="001F6F37" w:rsidRPr="0008671E" w:rsidRDefault="001F6F37" w:rsidP="001F6F37">
      <w:pPr>
        <w:autoSpaceDE w:val="0"/>
        <w:autoSpaceDN w:val="0"/>
        <w:adjustRightInd w:val="0"/>
        <w:jc w:val="both"/>
        <w:rPr>
          <w:rFonts w:asciiTheme="minorHAnsi" w:hAnsiTheme="minorHAnsi" w:cstheme="minorHAnsi"/>
          <w:color w:val="000000"/>
        </w:rPr>
      </w:pPr>
      <w:r w:rsidRPr="0008671E">
        <w:rPr>
          <w:rFonts w:asciiTheme="minorHAnsi" w:hAnsiTheme="minorHAnsi" w:cstheme="minorHAnsi"/>
          <w:color w:val="000000"/>
        </w:rPr>
        <w:t xml:space="preserve">Under Paragraph 2.1.6 an MTF operator must ensure it is able to monitor for and ensure compliance with all aspects of its rulebook e.g. participant eligibility criteria, trading and settlement rules and anti-market abuse rules. Therefore, the MTF’s compliance function should be able to demonstrate how, and by whom, these rules are monitored. Moreover, the rulebook should include the appropriate sanctions in order to ensure compliance that may include official warnings, suspension, termination, monetary sanctions and legal actions. </w:t>
      </w:r>
    </w:p>
    <w:p w:rsidR="001F6F37" w:rsidRPr="0008671E" w:rsidRDefault="001F6F37" w:rsidP="001F6F37">
      <w:pPr>
        <w:autoSpaceDE w:val="0"/>
        <w:autoSpaceDN w:val="0"/>
        <w:adjustRightInd w:val="0"/>
        <w:jc w:val="both"/>
        <w:rPr>
          <w:rFonts w:asciiTheme="minorHAnsi" w:hAnsiTheme="minorHAnsi" w:cstheme="minorHAnsi"/>
          <w:color w:val="000000"/>
        </w:rPr>
      </w:pPr>
    </w:p>
    <w:p w:rsidR="001F6F37" w:rsidRPr="0008671E" w:rsidRDefault="001F6F37" w:rsidP="001F6F37">
      <w:pPr>
        <w:autoSpaceDE w:val="0"/>
        <w:autoSpaceDN w:val="0"/>
        <w:adjustRightInd w:val="0"/>
        <w:jc w:val="both"/>
        <w:rPr>
          <w:rFonts w:asciiTheme="minorHAnsi" w:hAnsiTheme="minorHAnsi" w:cstheme="minorHAnsi"/>
          <w:color w:val="000000"/>
        </w:rPr>
      </w:pPr>
      <w:r w:rsidRPr="0008671E">
        <w:rPr>
          <w:rFonts w:asciiTheme="minorHAnsi" w:hAnsiTheme="minorHAnsi" w:cstheme="minorHAnsi"/>
          <w:color w:val="000000"/>
        </w:rPr>
        <w:t xml:space="preserve">In order to satisfy paragraph 2.1.7 an MTF operator should have rules and market control arrangements which enable it to provide for and maintain fair and orderly trading. In this respect, an MTF operator should identify the range of potential disorderly market conditions that could occur on the MTF e.g. stale market data, system outages or other business interruption events, erroneous orders or trades etc. An MTF’s rules and market control arrangements should seek to address the identified potential disorderly conditions through both preventative provisions, such as system security or erroneous order entry rejection, and re-active market control provisions, such as suspension of trading (e.g. at instrument or participant level) or trade cancellation, where appropriate. </w:t>
      </w:r>
    </w:p>
    <w:p w:rsidR="001F6F37" w:rsidRPr="0008671E" w:rsidRDefault="001F6F37" w:rsidP="001F6F37">
      <w:pPr>
        <w:autoSpaceDE w:val="0"/>
        <w:autoSpaceDN w:val="0"/>
        <w:adjustRightInd w:val="0"/>
        <w:jc w:val="both"/>
        <w:rPr>
          <w:rFonts w:asciiTheme="minorHAnsi" w:hAnsiTheme="minorHAnsi" w:cstheme="minorHAnsi"/>
          <w:color w:val="000000"/>
        </w:rPr>
      </w:pPr>
    </w:p>
    <w:p w:rsidR="001F6F37" w:rsidRPr="0008671E" w:rsidRDefault="001F6F37" w:rsidP="001F6F37">
      <w:pPr>
        <w:autoSpaceDE w:val="0"/>
        <w:autoSpaceDN w:val="0"/>
        <w:adjustRightInd w:val="0"/>
        <w:jc w:val="both"/>
        <w:rPr>
          <w:rFonts w:asciiTheme="minorHAnsi" w:hAnsiTheme="minorHAnsi" w:cstheme="minorHAnsi"/>
          <w:color w:val="000000"/>
        </w:rPr>
      </w:pPr>
      <w:r w:rsidRPr="0008671E">
        <w:rPr>
          <w:rFonts w:asciiTheme="minorHAnsi" w:hAnsiTheme="minorHAnsi" w:cstheme="minorHAnsi"/>
          <w:color w:val="000000"/>
        </w:rPr>
        <w:t xml:space="preserve">An MTF operator’s rulebook should contain a clear reference to the prohibition on market abuse and undertake regular assessments as to the types of market abuse that could occur on the MTF. An MTF should ensure it has appropriate monitoring and surveillance arrangements in place (systems, procedures and personnel) to monitor transactions undertaken by participants on the MTF in order to satisfy the reporting requirements set out in Paragraph 2.1.7.4. A relevant procedure in relation to any alleged violations of the rulebook should also be in place.  </w:t>
      </w:r>
    </w:p>
    <w:p w:rsidR="001F6F37" w:rsidRPr="0008671E" w:rsidRDefault="001F6F37" w:rsidP="001F6F37">
      <w:pPr>
        <w:autoSpaceDE w:val="0"/>
        <w:autoSpaceDN w:val="0"/>
        <w:adjustRightInd w:val="0"/>
        <w:spacing w:after="120"/>
        <w:jc w:val="both"/>
        <w:rPr>
          <w:rFonts w:asciiTheme="minorHAnsi" w:hAnsiTheme="minorHAnsi" w:cstheme="minorHAnsi"/>
          <w:b/>
          <w:bCs/>
          <w:color w:val="000000"/>
        </w:rPr>
      </w:pPr>
    </w:p>
    <w:p w:rsidR="001F6F37" w:rsidRPr="0008671E" w:rsidRDefault="001F6F37" w:rsidP="001F6F37">
      <w:pPr>
        <w:autoSpaceDE w:val="0"/>
        <w:autoSpaceDN w:val="0"/>
        <w:adjustRightInd w:val="0"/>
        <w:spacing w:after="120"/>
        <w:jc w:val="both"/>
        <w:rPr>
          <w:rFonts w:asciiTheme="minorHAnsi" w:hAnsiTheme="minorHAnsi" w:cstheme="minorHAnsi"/>
          <w:b/>
          <w:bCs/>
          <w:i/>
          <w:color w:val="000000"/>
        </w:rPr>
      </w:pPr>
      <w:r w:rsidRPr="0008671E">
        <w:rPr>
          <w:rFonts w:asciiTheme="minorHAnsi" w:hAnsiTheme="minorHAnsi" w:cstheme="minorHAnsi"/>
          <w:b/>
          <w:bCs/>
          <w:i/>
          <w:color w:val="000000"/>
        </w:rPr>
        <w:t>Paragraph 2.1.9</w:t>
      </w:r>
      <w:r w:rsidRPr="0008671E">
        <w:rPr>
          <w:rFonts w:asciiTheme="minorHAnsi" w:hAnsiTheme="minorHAnsi" w:cstheme="minorHAnsi"/>
          <w:b/>
          <w:bCs/>
          <w:i/>
          <w:color w:val="000000"/>
        </w:rPr>
        <w:tab/>
        <w:t xml:space="preserve">“Effective arrangements to facilitate the efficient clearing and settlement of the transactions concluded under its systems” and </w:t>
      </w:r>
    </w:p>
    <w:p w:rsidR="001F6F37" w:rsidRPr="0008671E" w:rsidRDefault="001F6F37" w:rsidP="001F6F37">
      <w:pPr>
        <w:autoSpaceDE w:val="0"/>
        <w:autoSpaceDN w:val="0"/>
        <w:adjustRightInd w:val="0"/>
        <w:jc w:val="both"/>
        <w:rPr>
          <w:rFonts w:asciiTheme="minorHAnsi" w:hAnsiTheme="minorHAnsi" w:cstheme="minorHAnsi"/>
          <w:b/>
          <w:bCs/>
          <w:i/>
          <w:color w:val="000000"/>
        </w:rPr>
      </w:pPr>
      <w:r w:rsidRPr="0008671E">
        <w:rPr>
          <w:rFonts w:asciiTheme="minorHAnsi" w:hAnsiTheme="minorHAnsi" w:cstheme="minorHAnsi"/>
          <w:b/>
          <w:bCs/>
          <w:i/>
          <w:color w:val="000000"/>
        </w:rPr>
        <w:t>Paragraph 2.1.10</w:t>
      </w:r>
      <w:r w:rsidRPr="0008671E">
        <w:rPr>
          <w:rFonts w:asciiTheme="minorHAnsi" w:hAnsiTheme="minorHAnsi" w:cstheme="minorHAnsi"/>
          <w:b/>
          <w:bCs/>
          <w:i/>
          <w:color w:val="000000"/>
        </w:rPr>
        <w:tab/>
        <w:t xml:space="preserve"> “Clear information to the potential users of the MTF of their respective responsibilities for the settlement of the transactions concluded under its systems.”</w:t>
      </w:r>
    </w:p>
    <w:p w:rsidR="001F6F37" w:rsidRPr="0008671E" w:rsidRDefault="001F6F37" w:rsidP="001F6F37">
      <w:pPr>
        <w:autoSpaceDE w:val="0"/>
        <w:autoSpaceDN w:val="0"/>
        <w:adjustRightInd w:val="0"/>
        <w:jc w:val="both"/>
        <w:rPr>
          <w:rFonts w:asciiTheme="minorHAnsi" w:hAnsiTheme="minorHAnsi" w:cstheme="minorHAnsi"/>
          <w:color w:val="000000"/>
        </w:rPr>
      </w:pPr>
    </w:p>
    <w:p w:rsidR="001F6F37" w:rsidRPr="0008671E" w:rsidRDefault="001F6F37" w:rsidP="001F6F37">
      <w:pPr>
        <w:autoSpaceDE w:val="0"/>
        <w:autoSpaceDN w:val="0"/>
        <w:adjustRightInd w:val="0"/>
        <w:jc w:val="both"/>
        <w:rPr>
          <w:rFonts w:asciiTheme="minorHAnsi" w:hAnsiTheme="minorHAnsi" w:cstheme="minorHAnsi"/>
          <w:color w:val="000000"/>
        </w:rPr>
      </w:pPr>
      <w:r w:rsidRPr="0008671E">
        <w:rPr>
          <w:rFonts w:asciiTheme="minorHAnsi" w:hAnsiTheme="minorHAnsi" w:cstheme="minorHAnsi"/>
          <w:color w:val="000000"/>
        </w:rPr>
        <w:t xml:space="preserve">The rulebook of an MTF operator should provide for the efficient settlement of transactions executed on the MTF. The MTF operator should also state whether it intends to enter into appropriate arrangements with a central counterparty or clearing house and a settlement system with a view to providing for the clearing or and settlement of some or all trades concluded by market participants under the MTF system.  The applicant should also provide information in relation to the central counterparty or clearing house and settlement system, such as its name, country of origin, competent or supervisory Authority, as well as details of the arrangements it has in place to facilitate efficient settlement e.g. post-trade confirmations, established links to post-trade infrastructure providers. </w:t>
      </w:r>
    </w:p>
    <w:p w:rsidR="001F6F37" w:rsidRPr="0008671E" w:rsidRDefault="001F6F37" w:rsidP="001F6F37">
      <w:pPr>
        <w:autoSpaceDE w:val="0"/>
        <w:autoSpaceDN w:val="0"/>
        <w:adjustRightInd w:val="0"/>
        <w:jc w:val="both"/>
        <w:rPr>
          <w:rFonts w:asciiTheme="minorHAnsi" w:hAnsiTheme="minorHAnsi" w:cstheme="minorHAnsi"/>
          <w:color w:val="000000"/>
        </w:rPr>
      </w:pPr>
    </w:p>
    <w:p w:rsidR="001F6F37" w:rsidRPr="0008671E" w:rsidRDefault="001F6F37" w:rsidP="001F6F37">
      <w:pPr>
        <w:tabs>
          <w:tab w:val="left" w:pos="534"/>
        </w:tabs>
        <w:jc w:val="both"/>
        <w:rPr>
          <w:rFonts w:asciiTheme="minorHAnsi" w:hAnsiTheme="minorHAnsi" w:cstheme="minorHAnsi"/>
          <w:lang w:eastAsia="el-GR"/>
        </w:rPr>
      </w:pPr>
      <w:r w:rsidRPr="0008671E">
        <w:rPr>
          <w:rFonts w:asciiTheme="minorHAnsi" w:hAnsiTheme="minorHAnsi" w:cstheme="minorHAnsi"/>
          <w:lang w:eastAsia="el-GR"/>
        </w:rPr>
        <w:t xml:space="preserve">The rulebook of an MTF should include the following: </w:t>
      </w:r>
    </w:p>
    <w:p w:rsidR="001F6F37" w:rsidRPr="0008671E" w:rsidRDefault="001F6F37" w:rsidP="005D7071">
      <w:pPr>
        <w:pStyle w:val="ListParagraph"/>
        <w:numPr>
          <w:ilvl w:val="0"/>
          <w:numId w:val="28"/>
        </w:numPr>
        <w:spacing w:after="0"/>
        <w:jc w:val="both"/>
        <w:rPr>
          <w:rFonts w:asciiTheme="minorHAnsi" w:eastAsia="Times New Roman" w:hAnsiTheme="minorHAnsi" w:cstheme="minorHAnsi"/>
          <w:bCs/>
          <w:sz w:val="24"/>
          <w:szCs w:val="24"/>
          <w:lang w:val="en-GB" w:eastAsia="el-GR"/>
        </w:rPr>
      </w:pPr>
      <w:r w:rsidRPr="0008671E">
        <w:rPr>
          <w:rFonts w:asciiTheme="minorHAnsi" w:eastAsia="Times New Roman" w:hAnsiTheme="minorHAnsi" w:cstheme="minorHAnsi"/>
          <w:sz w:val="24"/>
          <w:szCs w:val="24"/>
          <w:lang w:val="en-GB" w:eastAsia="el-GR"/>
        </w:rPr>
        <w:t xml:space="preserve">Clearing </w:t>
      </w:r>
      <w:r w:rsidRPr="0008671E">
        <w:rPr>
          <w:rFonts w:asciiTheme="minorHAnsi" w:eastAsia="Times New Roman" w:hAnsiTheme="minorHAnsi" w:cstheme="minorHAnsi"/>
          <w:bCs/>
          <w:sz w:val="24"/>
          <w:szCs w:val="24"/>
          <w:lang w:val="en-GB" w:eastAsia="el-GR"/>
        </w:rPr>
        <w:t xml:space="preserve">and/or CCP arrangements; </w:t>
      </w:r>
    </w:p>
    <w:p w:rsidR="001F6F37" w:rsidRPr="0008671E" w:rsidRDefault="001F6F37" w:rsidP="005D7071">
      <w:pPr>
        <w:pStyle w:val="ListParagraph"/>
        <w:numPr>
          <w:ilvl w:val="0"/>
          <w:numId w:val="28"/>
        </w:numPr>
        <w:tabs>
          <w:tab w:val="left" w:pos="900"/>
          <w:tab w:val="left" w:pos="990"/>
          <w:tab w:val="left" w:pos="1080"/>
          <w:tab w:val="left" w:pos="1350"/>
        </w:tabs>
        <w:spacing w:after="0"/>
        <w:jc w:val="both"/>
        <w:rPr>
          <w:rFonts w:asciiTheme="minorHAnsi" w:eastAsia="Times New Roman" w:hAnsiTheme="minorHAnsi" w:cstheme="minorHAnsi"/>
          <w:bCs/>
          <w:sz w:val="24"/>
          <w:szCs w:val="24"/>
          <w:lang w:val="en-GB" w:eastAsia="el-GR"/>
        </w:rPr>
      </w:pPr>
      <w:r w:rsidRPr="0008671E">
        <w:rPr>
          <w:rFonts w:asciiTheme="minorHAnsi" w:eastAsia="Times New Roman" w:hAnsiTheme="minorHAnsi" w:cstheme="minorHAnsi"/>
          <w:bCs/>
          <w:sz w:val="24"/>
          <w:szCs w:val="24"/>
          <w:lang w:val="en-GB" w:eastAsia="el-GR"/>
        </w:rPr>
        <w:lastRenderedPageBreak/>
        <w:t xml:space="preserve">An overview of rules and practices relating to clearing and settlement; </w:t>
      </w:r>
    </w:p>
    <w:p w:rsidR="001F6F37" w:rsidRPr="0008671E" w:rsidRDefault="001F6F37" w:rsidP="005D7071">
      <w:pPr>
        <w:pStyle w:val="ListParagraph"/>
        <w:numPr>
          <w:ilvl w:val="0"/>
          <w:numId w:val="28"/>
        </w:numPr>
        <w:tabs>
          <w:tab w:val="left" w:pos="990"/>
          <w:tab w:val="left" w:pos="1080"/>
        </w:tabs>
        <w:spacing w:after="0"/>
        <w:jc w:val="both"/>
        <w:rPr>
          <w:rFonts w:asciiTheme="minorHAnsi" w:eastAsia="Times New Roman" w:hAnsiTheme="minorHAnsi" w:cstheme="minorHAnsi"/>
          <w:bCs/>
          <w:sz w:val="24"/>
          <w:szCs w:val="24"/>
          <w:lang w:val="en-GB" w:eastAsia="el-GR"/>
        </w:rPr>
      </w:pPr>
      <w:r w:rsidRPr="0008671E">
        <w:rPr>
          <w:rFonts w:asciiTheme="minorHAnsi" w:eastAsia="Times New Roman" w:hAnsiTheme="minorHAnsi" w:cstheme="minorHAnsi"/>
          <w:bCs/>
          <w:sz w:val="24"/>
          <w:szCs w:val="24"/>
          <w:lang w:val="en-GB" w:eastAsia="el-GR"/>
        </w:rPr>
        <w:t xml:space="preserve">Arrangements for matching executed trades for settlement and ensuring that the parties are in agreement about trade details for settlement; </w:t>
      </w:r>
    </w:p>
    <w:p w:rsidR="001F6F37" w:rsidRPr="0008671E" w:rsidRDefault="001F6F37" w:rsidP="001F6F37">
      <w:pPr>
        <w:tabs>
          <w:tab w:val="left" w:pos="990"/>
        </w:tabs>
        <w:jc w:val="both"/>
        <w:rPr>
          <w:rFonts w:asciiTheme="minorHAnsi" w:hAnsiTheme="minorHAnsi" w:cstheme="minorHAnsi"/>
          <w:bCs/>
          <w:lang w:eastAsia="el-GR"/>
        </w:rPr>
      </w:pPr>
    </w:p>
    <w:p w:rsidR="001F6F37" w:rsidRPr="0008671E" w:rsidRDefault="001F6F37" w:rsidP="001F6F37">
      <w:pPr>
        <w:tabs>
          <w:tab w:val="left" w:pos="990"/>
        </w:tabs>
        <w:jc w:val="both"/>
        <w:rPr>
          <w:rFonts w:asciiTheme="minorHAnsi" w:hAnsiTheme="minorHAnsi" w:cstheme="minorHAnsi"/>
          <w:bCs/>
          <w:lang w:eastAsia="el-GR"/>
        </w:rPr>
      </w:pPr>
      <w:r w:rsidRPr="0008671E">
        <w:rPr>
          <w:rFonts w:asciiTheme="minorHAnsi" w:hAnsiTheme="minorHAnsi" w:cstheme="minorHAnsi"/>
          <w:bCs/>
          <w:lang w:eastAsia="el-GR"/>
        </w:rPr>
        <w:t xml:space="preserve">Where relevant, the following information should also be included: </w:t>
      </w:r>
    </w:p>
    <w:p w:rsidR="001F6F37" w:rsidRPr="0008671E" w:rsidRDefault="001F6F37" w:rsidP="005D7071">
      <w:pPr>
        <w:pStyle w:val="ListParagraph"/>
        <w:numPr>
          <w:ilvl w:val="0"/>
          <w:numId w:val="28"/>
        </w:numPr>
        <w:tabs>
          <w:tab w:val="left" w:pos="900"/>
        </w:tabs>
        <w:spacing w:after="0"/>
        <w:jc w:val="both"/>
        <w:rPr>
          <w:rFonts w:asciiTheme="minorHAnsi" w:eastAsia="Times New Roman" w:hAnsiTheme="minorHAnsi" w:cstheme="minorHAnsi"/>
          <w:bCs/>
          <w:sz w:val="24"/>
          <w:szCs w:val="24"/>
          <w:lang w:val="en-GB" w:eastAsia="el-GR"/>
        </w:rPr>
      </w:pPr>
      <w:r w:rsidRPr="0008671E">
        <w:rPr>
          <w:rFonts w:asciiTheme="minorHAnsi" w:eastAsia="Times New Roman" w:hAnsiTheme="minorHAnsi" w:cstheme="minorHAnsi"/>
          <w:bCs/>
          <w:sz w:val="24"/>
          <w:szCs w:val="24"/>
          <w:lang w:val="en-GB" w:eastAsia="el-GR"/>
        </w:rPr>
        <w:t>An overview of arrangements for making deliveries and payments and, for collecting margin and holding collateral, in all relevant jurisdictions;</w:t>
      </w:r>
    </w:p>
    <w:p w:rsidR="001F6F37" w:rsidRPr="0008671E" w:rsidRDefault="001F6F37" w:rsidP="005D7071">
      <w:pPr>
        <w:pStyle w:val="ListParagraph"/>
        <w:numPr>
          <w:ilvl w:val="0"/>
          <w:numId w:val="28"/>
        </w:numPr>
        <w:tabs>
          <w:tab w:val="left" w:pos="900"/>
        </w:tabs>
        <w:spacing w:after="0"/>
        <w:jc w:val="both"/>
        <w:rPr>
          <w:rFonts w:asciiTheme="minorHAnsi" w:eastAsia="Times New Roman" w:hAnsiTheme="minorHAnsi" w:cstheme="minorHAnsi"/>
          <w:bCs/>
          <w:sz w:val="24"/>
          <w:szCs w:val="24"/>
          <w:lang w:val="en-GB" w:eastAsia="el-GR"/>
        </w:rPr>
      </w:pPr>
      <w:r w:rsidRPr="0008671E">
        <w:rPr>
          <w:rFonts w:asciiTheme="minorHAnsi" w:eastAsia="Times New Roman" w:hAnsiTheme="minorHAnsi" w:cstheme="minorHAnsi"/>
          <w:bCs/>
          <w:sz w:val="24"/>
          <w:szCs w:val="24"/>
          <w:lang w:val="en-GB" w:eastAsia="el-GR"/>
        </w:rPr>
        <w:t xml:space="preserve">An overview of procedures to detect and deal with the failure of a member to settle in accordance with its rules;  </w:t>
      </w:r>
    </w:p>
    <w:p w:rsidR="001F6F37" w:rsidRPr="0008671E" w:rsidRDefault="001F6F37" w:rsidP="005D7071">
      <w:pPr>
        <w:pStyle w:val="ListParagraph"/>
        <w:numPr>
          <w:ilvl w:val="0"/>
          <w:numId w:val="28"/>
        </w:numPr>
        <w:tabs>
          <w:tab w:val="left" w:pos="900"/>
        </w:tabs>
        <w:spacing w:after="0"/>
        <w:jc w:val="both"/>
        <w:rPr>
          <w:rFonts w:asciiTheme="minorHAnsi" w:eastAsia="Times New Roman" w:hAnsiTheme="minorHAnsi" w:cstheme="minorHAnsi"/>
          <w:bCs/>
          <w:sz w:val="24"/>
          <w:szCs w:val="24"/>
          <w:lang w:val="en-GB" w:eastAsia="el-GR"/>
        </w:rPr>
      </w:pPr>
      <w:r w:rsidRPr="0008671E">
        <w:rPr>
          <w:rFonts w:asciiTheme="minorHAnsi" w:eastAsia="Times New Roman" w:hAnsiTheme="minorHAnsi" w:cstheme="minorHAnsi"/>
          <w:bCs/>
          <w:sz w:val="24"/>
          <w:szCs w:val="24"/>
          <w:lang w:val="en-GB" w:eastAsia="el-GR"/>
        </w:rPr>
        <w:t>An overview of arrangements for taking action to settle a trade if a member does not settle in accordance with its rules; and</w:t>
      </w:r>
    </w:p>
    <w:p w:rsidR="001F6F37" w:rsidRPr="0008671E" w:rsidRDefault="001F6F37" w:rsidP="005D7071">
      <w:pPr>
        <w:pStyle w:val="ListParagraph"/>
        <w:numPr>
          <w:ilvl w:val="0"/>
          <w:numId w:val="28"/>
        </w:numPr>
        <w:tabs>
          <w:tab w:val="left" w:pos="900"/>
        </w:tabs>
        <w:spacing w:after="0"/>
        <w:jc w:val="both"/>
        <w:rPr>
          <w:rFonts w:asciiTheme="minorHAnsi" w:eastAsia="Times New Roman" w:hAnsiTheme="minorHAnsi" w:cstheme="minorHAnsi"/>
          <w:bCs/>
          <w:sz w:val="24"/>
          <w:szCs w:val="24"/>
          <w:lang w:val="en-GB" w:eastAsia="el-GR"/>
        </w:rPr>
      </w:pPr>
      <w:r w:rsidRPr="0008671E">
        <w:rPr>
          <w:rFonts w:asciiTheme="minorHAnsi" w:eastAsia="Times New Roman" w:hAnsiTheme="minorHAnsi" w:cstheme="minorHAnsi"/>
          <w:bCs/>
          <w:sz w:val="24"/>
          <w:szCs w:val="24"/>
          <w:lang w:val="en-GB" w:eastAsia="el-GR"/>
        </w:rPr>
        <w:t>An overview of arrangements for monitoring its members' settlement performance.</w:t>
      </w:r>
    </w:p>
    <w:sectPr w:rsidR="001F6F37" w:rsidRPr="0008671E" w:rsidSect="005D7071">
      <w:headerReference w:type="default" r:id="rId9"/>
      <w:footerReference w:type="default" r:id="rId10"/>
      <w:pgSz w:w="11906" w:h="16838" w:code="9"/>
      <w:pgMar w:top="1258" w:right="1106" w:bottom="125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709" w:rsidRDefault="00DD1709">
      <w:r>
        <w:separator/>
      </w:r>
    </w:p>
  </w:endnote>
  <w:endnote w:type="continuationSeparator" w:id="0">
    <w:p w:rsidR="00DD1709" w:rsidRDefault="00DD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UB-Century">
    <w:altName w:val="Courier New"/>
    <w:charset w:val="00"/>
    <w:family w:val="auto"/>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2006860433"/>
      <w:docPartObj>
        <w:docPartGallery w:val="Page Numbers (Bottom of Page)"/>
        <w:docPartUnique/>
      </w:docPartObj>
    </w:sdtPr>
    <w:sdtEndPr/>
    <w:sdtContent>
      <w:sdt>
        <w:sdtPr>
          <w:rPr>
            <w:rFonts w:asciiTheme="minorHAnsi" w:hAnsiTheme="minorHAnsi" w:cstheme="minorHAnsi"/>
          </w:rPr>
          <w:id w:val="860082579"/>
          <w:docPartObj>
            <w:docPartGallery w:val="Page Numbers (Top of Page)"/>
            <w:docPartUnique/>
          </w:docPartObj>
        </w:sdtPr>
        <w:sdtEndPr/>
        <w:sdtContent>
          <w:p w:rsidR="0008671E" w:rsidRPr="0008671E" w:rsidRDefault="00347052">
            <w:pPr>
              <w:pStyle w:val="Footer"/>
              <w:jc w:val="right"/>
              <w:rPr>
                <w:rFonts w:asciiTheme="minorHAnsi" w:hAnsiTheme="minorHAnsi" w:cstheme="minorHAnsi"/>
              </w:rPr>
            </w:pPr>
            <w:r>
              <w:rPr>
                <w:rFonts w:asciiTheme="minorHAnsi" w:hAnsiTheme="minorHAnsi" w:cstheme="minorHAnsi"/>
                <w:noProof/>
                <w:lang w:val="el-GR" w:eastAsia="el-GR"/>
              </w:rPr>
              <w:drawing>
                <wp:anchor distT="0" distB="0" distL="114300" distR="114300" simplePos="0" relativeHeight="251658240" behindDoc="1" locked="0" layoutInCell="1" allowOverlap="1">
                  <wp:simplePos x="0" y="0"/>
                  <wp:positionH relativeFrom="column">
                    <wp:posOffset>-625856</wp:posOffset>
                  </wp:positionH>
                  <wp:positionV relativeFrom="paragraph">
                    <wp:posOffset>68733</wp:posOffset>
                  </wp:positionV>
                  <wp:extent cx="6877050" cy="600075"/>
                  <wp:effectExtent l="0" t="0" r="0" b="9525"/>
                  <wp:wrapTight wrapText="bothSides">
                    <wp:wrapPolygon edited="0">
                      <wp:start x="0" y="0"/>
                      <wp:lineTo x="0" y="21257"/>
                      <wp:lineTo x="21540" y="21257"/>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l="313" t="9105" r="-320" b="16605"/>
                          <a:stretch>
                            <a:fillRect/>
                          </a:stretch>
                        </pic:blipFill>
                        <pic:spPr bwMode="auto">
                          <a:xfrm>
                            <a:off x="0" y="0"/>
                            <a:ext cx="68770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671E" w:rsidRPr="0008671E">
              <w:rPr>
                <w:rFonts w:asciiTheme="minorHAnsi" w:hAnsiTheme="minorHAnsi" w:cstheme="minorHAnsi"/>
              </w:rPr>
              <w:t xml:space="preserve">Page </w:t>
            </w:r>
            <w:r w:rsidR="0008671E" w:rsidRPr="0008671E">
              <w:rPr>
                <w:rFonts w:asciiTheme="minorHAnsi" w:hAnsiTheme="minorHAnsi" w:cstheme="minorHAnsi"/>
                <w:b/>
                <w:bCs/>
              </w:rPr>
              <w:fldChar w:fldCharType="begin"/>
            </w:r>
            <w:r w:rsidR="0008671E" w:rsidRPr="0008671E">
              <w:rPr>
                <w:rFonts w:asciiTheme="minorHAnsi" w:hAnsiTheme="minorHAnsi" w:cstheme="minorHAnsi"/>
                <w:b/>
                <w:bCs/>
              </w:rPr>
              <w:instrText xml:space="preserve"> PAGE </w:instrText>
            </w:r>
            <w:r w:rsidR="0008671E" w:rsidRPr="0008671E">
              <w:rPr>
                <w:rFonts w:asciiTheme="minorHAnsi" w:hAnsiTheme="minorHAnsi" w:cstheme="minorHAnsi"/>
                <w:b/>
                <w:bCs/>
              </w:rPr>
              <w:fldChar w:fldCharType="separate"/>
            </w:r>
            <w:r w:rsidR="00410975">
              <w:rPr>
                <w:rFonts w:asciiTheme="minorHAnsi" w:hAnsiTheme="minorHAnsi" w:cstheme="minorHAnsi"/>
                <w:b/>
                <w:bCs/>
                <w:noProof/>
              </w:rPr>
              <w:t>1</w:t>
            </w:r>
            <w:r w:rsidR="0008671E" w:rsidRPr="0008671E">
              <w:rPr>
                <w:rFonts w:asciiTheme="minorHAnsi" w:hAnsiTheme="minorHAnsi" w:cstheme="minorHAnsi"/>
                <w:b/>
                <w:bCs/>
              </w:rPr>
              <w:fldChar w:fldCharType="end"/>
            </w:r>
            <w:r w:rsidR="0008671E" w:rsidRPr="0008671E">
              <w:rPr>
                <w:rFonts w:asciiTheme="minorHAnsi" w:hAnsiTheme="minorHAnsi" w:cstheme="minorHAnsi"/>
              </w:rPr>
              <w:t xml:space="preserve"> of </w:t>
            </w:r>
            <w:r w:rsidR="0008671E" w:rsidRPr="0008671E">
              <w:rPr>
                <w:rFonts w:asciiTheme="minorHAnsi" w:hAnsiTheme="minorHAnsi" w:cstheme="minorHAnsi"/>
                <w:b/>
                <w:bCs/>
              </w:rPr>
              <w:fldChar w:fldCharType="begin"/>
            </w:r>
            <w:r w:rsidR="0008671E" w:rsidRPr="0008671E">
              <w:rPr>
                <w:rFonts w:asciiTheme="minorHAnsi" w:hAnsiTheme="minorHAnsi" w:cstheme="minorHAnsi"/>
                <w:b/>
                <w:bCs/>
              </w:rPr>
              <w:instrText xml:space="preserve"> NUMPAGES  </w:instrText>
            </w:r>
            <w:r w:rsidR="0008671E" w:rsidRPr="0008671E">
              <w:rPr>
                <w:rFonts w:asciiTheme="minorHAnsi" w:hAnsiTheme="minorHAnsi" w:cstheme="minorHAnsi"/>
                <w:b/>
                <w:bCs/>
              </w:rPr>
              <w:fldChar w:fldCharType="separate"/>
            </w:r>
            <w:r w:rsidR="00410975">
              <w:rPr>
                <w:rFonts w:asciiTheme="minorHAnsi" w:hAnsiTheme="minorHAnsi" w:cstheme="minorHAnsi"/>
                <w:b/>
                <w:bCs/>
                <w:noProof/>
              </w:rPr>
              <w:t>4</w:t>
            </w:r>
            <w:r w:rsidR="0008671E" w:rsidRPr="0008671E">
              <w:rPr>
                <w:rFonts w:asciiTheme="minorHAnsi" w:hAnsiTheme="minorHAnsi" w:cstheme="minorHAnsi"/>
                <w:b/>
                <w:bCs/>
              </w:rPr>
              <w:fldChar w:fldCharType="end"/>
            </w:r>
          </w:p>
        </w:sdtContent>
      </w:sdt>
    </w:sdtContent>
  </w:sdt>
  <w:p w:rsidR="0008671E" w:rsidRDefault="00086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709" w:rsidRDefault="00DD1709">
      <w:r>
        <w:separator/>
      </w:r>
    </w:p>
  </w:footnote>
  <w:footnote w:type="continuationSeparator" w:id="0">
    <w:p w:rsidR="00DD1709" w:rsidRDefault="00DD1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975" w:rsidRPr="00410975" w:rsidRDefault="00410975" w:rsidP="00410975">
    <w:pPr>
      <w:pStyle w:val="Header"/>
      <w:jc w:val="right"/>
      <w:rPr>
        <w:rFonts w:asciiTheme="minorHAnsi" w:hAnsiTheme="minorHAnsi" w:cstheme="minorHAnsi"/>
        <w:lang w:val="en-US"/>
      </w:rPr>
    </w:pPr>
    <w:r w:rsidRPr="00410975">
      <w:rPr>
        <w:rFonts w:asciiTheme="minorHAnsi" w:hAnsiTheme="minorHAnsi" w:cstheme="minorHAnsi"/>
      </w:rPr>
      <w:t>Form</w:t>
    </w:r>
    <w:r w:rsidRPr="00410975">
      <w:rPr>
        <w:rFonts w:asciiTheme="minorHAnsi" w:hAnsiTheme="minorHAnsi" w:cstheme="minorHAnsi"/>
        <w:lang w:val="en-US"/>
      </w:rPr>
      <w:t xml:space="preserve"> 144-</w:t>
    </w:r>
    <w:r w:rsidRPr="00410975">
      <w:rPr>
        <w:rFonts w:asciiTheme="minorHAnsi" w:hAnsiTheme="minorHAnsi" w:cstheme="minorHAnsi"/>
      </w:rPr>
      <w:t>03</w:t>
    </w:r>
    <w:r w:rsidRPr="00410975">
      <w:rPr>
        <w:rFonts w:asciiTheme="minorHAnsi" w:hAnsiTheme="minorHAnsi" w:cstheme="minorHAnsi"/>
        <w:lang w:val="en-US"/>
      </w:rPr>
      <w:t>-0</w:t>
    </w:r>
    <w:r>
      <w:rPr>
        <w:rFonts w:asciiTheme="minorHAnsi" w:hAnsiTheme="minorHAnsi" w:cstheme="minorHAnsi"/>
        <w:lang w:val="en-US"/>
      </w:rPr>
      <w:t>5</w:t>
    </w:r>
  </w:p>
  <w:p w:rsidR="00410975" w:rsidRPr="00410975" w:rsidRDefault="00410975" w:rsidP="00410975">
    <w:pPr>
      <w:pStyle w:val="Header"/>
      <w:jc w:val="right"/>
      <w:rPr>
        <w:rFonts w:asciiTheme="minorHAnsi" w:hAnsiTheme="minorHAnsi" w:cstheme="minorHAnsi"/>
        <w:lang w:val="en-US"/>
      </w:rPr>
    </w:pPr>
    <w:r w:rsidRPr="00410975">
      <w:rPr>
        <w:rFonts w:asciiTheme="minorHAnsi" w:hAnsiTheme="minorHAnsi" w:cstheme="minorHAnsi"/>
        <w:b/>
        <w:szCs w:val="24"/>
        <w:lang w:val="en-US"/>
      </w:rPr>
      <w:t>Not available in Greek</w:t>
    </w:r>
  </w:p>
  <w:p w:rsidR="00410975" w:rsidRPr="00410975" w:rsidRDefault="00410975" w:rsidP="00410975">
    <w:pPr>
      <w:pStyle w:val="Header"/>
      <w:jc w:val="right"/>
      <w:rPr>
        <w:rFonts w:asciiTheme="minorHAnsi" w:hAnsiTheme="minorHAnsi" w:cstheme="minorHAnsi"/>
        <w:lang w:val="en-US"/>
      </w:rPr>
    </w:pPr>
    <w:r w:rsidRPr="00410975">
      <w:rPr>
        <w:rFonts w:asciiTheme="minorHAnsi" w:hAnsiTheme="minorHAnsi" w:cstheme="minorHAnsi"/>
        <w:lang w:val="en-US"/>
      </w:rPr>
      <w:t>Date of publication: 21.02.2017</w:t>
    </w:r>
  </w:p>
  <w:p w:rsidR="00410975" w:rsidRPr="00410975" w:rsidRDefault="00410975" w:rsidP="00410975">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0506"/>
    <w:multiLevelType w:val="multilevel"/>
    <w:tmpl w:val="BCB637F6"/>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F253153"/>
    <w:multiLevelType w:val="multilevel"/>
    <w:tmpl w:val="12164EB0"/>
    <w:lvl w:ilvl="0">
      <w:start w:val="19"/>
      <w:numFmt w:val="decimal"/>
      <w:lvlText w:val="%1"/>
      <w:lvlJc w:val="left"/>
      <w:pPr>
        <w:ind w:left="420" w:hanging="420"/>
      </w:pPr>
      <w:rPr>
        <w:rFonts w:hint="default"/>
      </w:rPr>
    </w:lvl>
    <w:lvl w:ilvl="1">
      <w:start w:val="1"/>
      <w:numFmt w:val="decimal"/>
      <w:lvlText w:val="%1.%2"/>
      <w:lvlJc w:val="left"/>
      <w:pPr>
        <w:ind w:left="920" w:hanging="42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2" w15:restartNumberingAfterBreak="0">
    <w:nsid w:val="107643FF"/>
    <w:multiLevelType w:val="hybridMultilevel"/>
    <w:tmpl w:val="BE30BD52"/>
    <w:lvl w:ilvl="0" w:tplc="91784F7E">
      <w:start w:val="1"/>
      <w:numFmt w:val="decimal"/>
      <w:lvlText w:val="2.%1"/>
      <w:lvlJc w:val="left"/>
      <w:pPr>
        <w:tabs>
          <w:tab w:val="num" w:pos="417"/>
        </w:tabs>
        <w:ind w:left="417" w:hanging="41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CF7B96"/>
    <w:multiLevelType w:val="hybridMultilevel"/>
    <w:tmpl w:val="F5BE1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A210D83"/>
    <w:multiLevelType w:val="hybridMultilevel"/>
    <w:tmpl w:val="3AEAA67E"/>
    <w:lvl w:ilvl="0" w:tplc="94227DB8">
      <w:start w:val="1"/>
      <w:numFmt w:val="decimal"/>
      <w:lvlText w:val="1.%1"/>
      <w:lvlJc w:val="left"/>
      <w:pPr>
        <w:tabs>
          <w:tab w:val="num" w:pos="417"/>
        </w:tabs>
        <w:ind w:left="417" w:hanging="41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02C6671"/>
    <w:multiLevelType w:val="hybridMultilevel"/>
    <w:tmpl w:val="88BAADBE"/>
    <w:lvl w:ilvl="0" w:tplc="A872AA50">
      <w:start w:val="1"/>
      <w:numFmt w:val="decimal"/>
      <w:lvlText w:val="17.%1"/>
      <w:lvlJc w:val="left"/>
      <w:pPr>
        <w:tabs>
          <w:tab w:val="num" w:pos="1440"/>
        </w:tabs>
        <w:ind w:left="1440" w:hanging="1440"/>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0E10109"/>
    <w:multiLevelType w:val="hybridMultilevel"/>
    <w:tmpl w:val="A4A85A1C"/>
    <w:lvl w:ilvl="0" w:tplc="6BFC11FC">
      <w:start w:val="1"/>
      <w:numFmt w:val="decimal"/>
      <w:lvlText w:val="%1."/>
      <w:lvlJc w:val="left"/>
      <w:pPr>
        <w:tabs>
          <w:tab w:val="num" w:pos="1980"/>
        </w:tabs>
        <w:ind w:left="1980" w:hanging="198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2444143"/>
    <w:multiLevelType w:val="hybridMultilevel"/>
    <w:tmpl w:val="8EEECEAC"/>
    <w:lvl w:ilvl="0" w:tplc="3958436E">
      <w:start w:val="1"/>
      <w:numFmt w:val="decimal"/>
      <w:lvlText w:val="%1."/>
      <w:lvlJc w:val="left"/>
      <w:pPr>
        <w:tabs>
          <w:tab w:val="num" w:pos="630"/>
        </w:tabs>
        <w:ind w:left="63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5CA6E23"/>
    <w:multiLevelType w:val="hybridMultilevel"/>
    <w:tmpl w:val="D33EA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A0F6F"/>
    <w:multiLevelType w:val="hybridMultilevel"/>
    <w:tmpl w:val="6472F532"/>
    <w:lvl w:ilvl="0" w:tplc="0409000F">
      <w:start w:val="1"/>
      <w:numFmt w:val="decimal"/>
      <w:lvlText w:val="%1."/>
      <w:lvlJc w:val="left"/>
      <w:pPr>
        <w:tabs>
          <w:tab w:val="num" w:pos="720"/>
        </w:tabs>
        <w:ind w:left="720" w:hanging="360"/>
      </w:pPr>
      <w:rPr>
        <w:rFonts w:hint="default"/>
      </w:rPr>
    </w:lvl>
    <w:lvl w:ilvl="1" w:tplc="44D8704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9E0036"/>
    <w:multiLevelType w:val="multilevel"/>
    <w:tmpl w:val="88E09ED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5B4B3F"/>
    <w:multiLevelType w:val="hybridMultilevel"/>
    <w:tmpl w:val="E0B417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16F51"/>
    <w:multiLevelType w:val="multilevel"/>
    <w:tmpl w:val="EB54B8F8"/>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698258E"/>
    <w:multiLevelType w:val="multilevel"/>
    <w:tmpl w:val="CD72417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357826"/>
    <w:multiLevelType w:val="multilevel"/>
    <w:tmpl w:val="9B4EAC9C"/>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3.%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E70DD8"/>
    <w:multiLevelType w:val="multilevel"/>
    <w:tmpl w:val="20165DE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CA12FD"/>
    <w:multiLevelType w:val="multilevel"/>
    <w:tmpl w:val="4718DDD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C1B7CC4"/>
    <w:multiLevelType w:val="multilevel"/>
    <w:tmpl w:val="56625B62"/>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9"/>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F50B6C"/>
    <w:multiLevelType w:val="hybridMultilevel"/>
    <w:tmpl w:val="D81C40C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09723B"/>
    <w:multiLevelType w:val="multilevel"/>
    <w:tmpl w:val="1C5E83FA"/>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04448"/>
    <w:multiLevelType w:val="multilevel"/>
    <w:tmpl w:val="7FE2A88C"/>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1528B6"/>
    <w:multiLevelType w:val="multilevel"/>
    <w:tmpl w:val="FD146F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4052C5"/>
    <w:multiLevelType w:val="hybridMultilevel"/>
    <w:tmpl w:val="BF9E8A60"/>
    <w:lvl w:ilvl="0" w:tplc="72326BD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EDE3F96"/>
    <w:multiLevelType w:val="hybridMultilevel"/>
    <w:tmpl w:val="39AA9AFC"/>
    <w:lvl w:ilvl="0" w:tplc="BDBA3936">
      <w:start w:val="1"/>
      <w:numFmt w:val="decimal"/>
      <w:lvlText w:val="11.%1"/>
      <w:lvlJc w:val="left"/>
      <w:pPr>
        <w:tabs>
          <w:tab w:val="num" w:pos="1203"/>
        </w:tabs>
        <w:ind w:left="1203" w:hanging="1203"/>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60E21BA1"/>
    <w:multiLevelType w:val="hybridMultilevel"/>
    <w:tmpl w:val="3EB03416"/>
    <w:lvl w:ilvl="0" w:tplc="CF4AD0E8">
      <w:start w:val="1"/>
      <w:numFmt w:val="decimal"/>
      <w:lvlText w:val="18.%1"/>
      <w:lvlJc w:val="left"/>
      <w:pPr>
        <w:tabs>
          <w:tab w:val="num" w:pos="360"/>
        </w:tabs>
        <w:ind w:left="3249" w:hanging="3249"/>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61751CC7"/>
    <w:multiLevelType w:val="multilevel"/>
    <w:tmpl w:val="609CA966"/>
    <w:lvl w:ilvl="0">
      <w:start w:val="2"/>
      <w:numFmt w:val="decimal"/>
      <w:lvlText w:val="%1"/>
      <w:lvlJc w:val="left"/>
      <w:pPr>
        <w:ind w:left="660" w:hanging="660"/>
      </w:pPr>
      <w:rPr>
        <w:rFonts w:hint="default"/>
      </w:rPr>
    </w:lvl>
    <w:lvl w:ilvl="1">
      <w:start w:val="1"/>
      <w:numFmt w:val="decimal"/>
      <w:lvlText w:val="%1.%2"/>
      <w:lvlJc w:val="left"/>
      <w:pPr>
        <w:ind w:left="1140" w:hanging="66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15:restartNumberingAfterBreak="0">
    <w:nsid w:val="655079F2"/>
    <w:multiLevelType w:val="hybridMultilevel"/>
    <w:tmpl w:val="5FD6F5C2"/>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79C60CA6">
      <w:numFmt w:val="none"/>
      <w:lvlText w:val=""/>
      <w:lvlJc w:val="left"/>
      <w:pPr>
        <w:tabs>
          <w:tab w:val="num" w:pos="360"/>
        </w:tabs>
      </w:p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abstractNum w:abstractNumId="28" w15:restartNumberingAfterBreak="0">
    <w:nsid w:val="66046561"/>
    <w:multiLevelType w:val="hybridMultilevel"/>
    <w:tmpl w:val="D6947F90"/>
    <w:lvl w:ilvl="0" w:tplc="FFFFFFFF">
      <w:start w:val="1"/>
      <w:numFmt w:val="decimal"/>
      <w:lvlText w:val="%1."/>
      <w:lvlJc w:val="left"/>
      <w:pPr>
        <w:tabs>
          <w:tab w:val="num" w:pos="360"/>
        </w:tabs>
        <w:ind w:left="360" w:hanging="360"/>
      </w:pPr>
      <w:rPr>
        <w:b/>
        <w:i w:val="0"/>
      </w:rPr>
    </w:lvl>
    <w:lvl w:ilvl="1" w:tplc="AABA2664">
      <w:start w:val="1"/>
      <w:numFmt w:val="decimal"/>
      <w:lvlText w:val="11.1.%2"/>
      <w:lvlJc w:val="left"/>
      <w:pPr>
        <w:tabs>
          <w:tab w:val="num" w:pos="1540"/>
        </w:tabs>
        <w:ind w:left="1540" w:hanging="1540"/>
      </w:pPr>
      <w:rPr>
        <w:rFonts w:ascii="Times New Roman" w:hAnsi="Times New Roman" w:cs="Times New Roman" w:hint="default"/>
        <w:b w:val="0"/>
        <w:i w:val="0"/>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6AA9174C"/>
    <w:multiLevelType w:val="multilevel"/>
    <w:tmpl w:val="09A2E24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6C64168B"/>
    <w:multiLevelType w:val="hybridMultilevel"/>
    <w:tmpl w:val="E3E083D2"/>
    <w:lvl w:ilvl="0" w:tplc="73C615D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C50204"/>
    <w:multiLevelType w:val="hybridMultilevel"/>
    <w:tmpl w:val="ED1E502C"/>
    <w:lvl w:ilvl="0" w:tplc="BE0C4964">
      <w:start w:val="1"/>
      <w:numFmt w:val="decimal"/>
      <w:lvlText w:val="11.2.%1"/>
      <w:lvlJc w:val="left"/>
      <w:pPr>
        <w:tabs>
          <w:tab w:val="num" w:pos="1540"/>
        </w:tabs>
        <w:ind w:left="1540" w:hanging="1540"/>
      </w:pPr>
      <w:rPr>
        <w:rFonts w:ascii="Times New Roman" w:hAnsi="Times New Roman" w:cs="Times New Roman"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702F7F19"/>
    <w:multiLevelType w:val="hybridMultilevel"/>
    <w:tmpl w:val="ED380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8B7603"/>
    <w:multiLevelType w:val="hybridMultilevel"/>
    <w:tmpl w:val="4EAA457C"/>
    <w:lvl w:ilvl="0" w:tplc="D5E06DAA">
      <w:start w:val="1"/>
      <w:numFmt w:val="decimal"/>
      <w:lvlText w:val="13.%1"/>
      <w:lvlJc w:val="left"/>
      <w:pPr>
        <w:tabs>
          <w:tab w:val="num" w:pos="2397"/>
        </w:tabs>
        <w:ind w:left="2397" w:hanging="2397"/>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7B1A689A"/>
    <w:multiLevelType w:val="hybridMultilevel"/>
    <w:tmpl w:val="96DE2D74"/>
    <w:lvl w:ilvl="0" w:tplc="6BFC11FC">
      <w:start w:val="1"/>
      <w:numFmt w:val="decimal"/>
      <w:lvlText w:val="%1."/>
      <w:lvlJc w:val="left"/>
      <w:pPr>
        <w:tabs>
          <w:tab w:val="num" w:pos="1980"/>
        </w:tabs>
        <w:ind w:left="1980" w:hanging="198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7C063EA0"/>
    <w:multiLevelType w:val="hybridMultilevel"/>
    <w:tmpl w:val="2A045364"/>
    <w:lvl w:ilvl="0" w:tplc="A67C5F7C">
      <w:start w:val="25"/>
      <w:numFmt w:val="decimal"/>
      <w:lvlText w:val="%1."/>
      <w:lvlJc w:val="left"/>
      <w:pPr>
        <w:ind w:left="63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EE56E8A"/>
    <w:multiLevelType w:val="hybridMultilevel"/>
    <w:tmpl w:val="E904D5D6"/>
    <w:lvl w:ilvl="0" w:tplc="06AC2D32">
      <w:start w:val="1"/>
      <w:numFmt w:val="lowerRoman"/>
      <w:lvlText w:val="%1."/>
      <w:lvlJc w:val="left"/>
      <w:pPr>
        <w:ind w:left="1080" w:hanging="72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28"/>
  </w:num>
  <w:num w:numId="4">
    <w:abstractNumId w:val="10"/>
  </w:num>
  <w:num w:numId="5">
    <w:abstractNumId w:val="27"/>
  </w:num>
  <w:num w:numId="6">
    <w:abstractNumId w:val="22"/>
  </w:num>
  <w:num w:numId="7">
    <w:abstractNumId w:val="21"/>
  </w:num>
  <w:num w:numId="8">
    <w:abstractNumId w:val="3"/>
  </w:num>
  <w:num w:numId="9">
    <w:abstractNumId w:val="11"/>
  </w:num>
  <w:num w:numId="10">
    <w:abstractNumId w:val="15"/>
  </w:num>
  <w:num w:numId="11">
    <w:abstractNumId w:val="17"/>
  </w:num>
  <w:num w:numId="12">
    <w:abstractNumId w:val="31"/>
  </w:num>
  <w:num w:numId="13">
    <w:abstractNumId w:val="8"/>
  </w:num>
  <w:num w:numId="14">
    <w:abstractNumId w:val="16"/>
  </w:num>
  <w:num w:numId="15">
    <w:abstractNumId w:val="23"/>
  </w:num>
  <w:num w:numId="16">
    <w:abstractNumId w:val="0"/>
  </w:num>
  <w:num w:numId="17">
    <w:abstractNumId w:val="1"/>
  </w:num>
  <w:num w:numId="18">
    <w:abstractNumId w:val="18"/>
  </w:num>
  <w:num w:numId="19">
    <w:abstractNumId w:val="20"/>
  </w:num>
  <w:num w:numId="20">
    <w:abstractNumId w:val="13"/>
  </w:num>
  <w:num w:numId="21">
    <w:abstractNumId w:val="29"/>
  </w:num>
  <w:num w:numId="22">
    <w:abstractNumId w:val="30"/>
  </w:num>
  <w:num w:numId="23">
    <w:abstractNumId w:val="26"/>
  </w:num>
  <w:num w:numId="24">
    <w:abstractNumId w:val="5"/>
  </w:num>
  <w:num w:numId="25">
    <w:abstractNumId w:val="34"/>
  </w:num>
  <w:num w:numId="26">
    <w:abstractNumId w:val="32"/>
  </w:num>
  <w:num w:numId="27">
    <w:abstractNumId w:val="19"/>
  </w:num>
  <w:num w:numId="28">
    <w:abstractNumId w:val="12"/>
  </w:num>
  <w:num w:numId="29">
    <w:abstractNumId w:val="7"/>
  </w:num>
  <w:num w:numId="30">
    <w:abstractNumId w:val="2"/>
  </w:num>
  <w:num w:numId="31">
    <w:abstractNumId w:val="24"/>
  </w:num>
  <w:num w:numId="32">
    <w:abstractNumId w:val="33"/>
  </w:num>
  <w:num w:numId="33">
    <w:abstractNumId w:val="6"/>
  </w:num>
  <w:num w:numId="34">
    <w:abstractNumId w:val="25"/>
  </w:num>
  <w:num w:numId="35">
    <w:abstractNumId w:val="9"/>
  </w:num>
  <w:num w:numId="36">
    <w:abstractNumId w:val="35"/>
  </w:num>
  <w:num w:numId="37">
    <w:abstractNumId w:val="36"/>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02"/>
    <w:rsid w:val="00000D99"/>
    <w:rsid w:val="000018AC"/>
    <w:rsid w:val="00003D56"/>
    <w:rsid w:val="0000460A"/>
    <w:rsid w:val="00005B50"/>
    <w:rsid w:val="00007EB6"/>
    <w:rsid w:val="00010409"/>
    <w:rsid w:val="0001370A"/>
    <w:rsid w:val="000246BA"/>
    <w:rsid w:val="00026E2D"/>
    <w:rsid w:val="0003279D"/>
    <w:rsid w:val="000457AD"/>
    <w:rsid w:val="000517F3"/>
    <w:rsid w:val="00052109"/>
    <w:rsid w:val="00052972"/>
    <w:rsid w:val="00053B9E"/>
    <w:rsid w:val="00055340"/>
    <w:rsid w:val="0006364C"/>
    <w:rsid w:val="000636D6"/>
    <w:rsid w:val="0008671E"/>
    <w:rsid w:val="00091E4C"/>
    <w:rsid w:val="00092A42"/>
    <w:rsid w:val="000B2561"/>
    <w:rsid w:val="000B2A66"/>
    <w:rsid w:val="000B4350"/>
    <w:rsid w:val="000B6C02"/>
    <w:rsid w:val="000B6FE5"/>
    <w:rsid w:val="000B758A"/>
    <w:rsid w:val="000C5DD2"/>
    <w:rsid w:val="000C5FDA"/>
    <w:rsid w:val="000D2017"/>
    <w:rsid w:val="000D2563"/>
    <w:rsid w:val="000E1B12"/>
    <w:rsid w:val="000E4632"/>
    <w:rsid w:val="000F2BD3"/>
    <w:rsid w:val="000F5A6B"/>
    <w:rsid w:val="000F6590"/>
    <w:rsid w:val="001018F1"/>
    <w:rsid w:val="00101CBF"/>
    <w:rsid w:val="00112A0B"/>
    <w:rsid w:val="0011523D"/>
    <w:rsid w:val="0011580F"/>
    <w:rsid w:val="00116252"/>
    <w:rsid w:val="00121B1F"/>
    <w:rsid w:val="00121C39"/>
    <w:rsid w:val="0012418F"/>
    <w:rsid w:val="00126A8E"/>
    <w:rsid w:val="00127CA6"/>
    <w:rsid w:val="0014048A"/>
    <w:rsid w:val="001472F7"/>
    <w:rsid w:val="00150325"/>
    <w:rsid w:val="001643BF"/>
    <w:rsid w:val="00173D00"/>
    <w:rsid w:val="001751C9"/>
    <w:rsid w:val="001778C0"/>
    <w:rsid w:val="00181192"/>
    <w:rsid w:val="00183DC1"/>
    <w:rsid w:val="00183EAD"/>
    <w:rsid w:val="00196376"/>
    <w:rsid w:val="001A3198"/>
    <w:rsid w:val="001B118A"/>
    <w:rsid w:val="001B4515"/>
    <w:rsid w:val="001D05F6"/>
    <w:rsid w:val="001D09AB"/>
    <w:rsid w:val="001D3953"/>
    <w:rsid w:val="001E0438"/>
    <w:rsid w:val="001E21B0"/>
    <w:rsid w:val="001E7210"/>
    <w:rsid w:val="001F1015"/>
    <w:rsid w:val="001F18EE"/>
    <w:rsid w:val="001F3318"/>
    <w:rsid w:val="001F3323"/>
    <w:rsid w:val="001F6F37"/>
    <w:rsid w:val="00206666"/>
    <w:rsid w:val="0020703F"/>
    <w:rsid w:val="00210DE3"/>
    <w:rsid w:val="002163B4"/>
    <w:rsid w:val="00221546"/>
    <w:rsid w:val="00222172"/>
    <w:rsid w:val="00233422"/>
    <w:rsid w:val="00254F8F"/>
    <w:rsid w:val="0025633A"/>
    <w:rsid w:val="00260970"/>
    <w:rsid w:val="00267997"/>
    <w:rsid w:val="00271E93"/>
    <w:rsid w:val="00282977"/>
    <w:rsid w:val="002831C0"/>
    <w:rsid w:val="00284109"/>
    <w:rsid w:val="002844C5"/>
    <w:rsid w:val="00285C2A"/>
    <w:rsid w:val="0029377A"/>
    <w:rsid w:val="00293DF1"/>
    <w:rsid w:val="002A6481"/>
    <w:rsid w:val="002C51EF"/>
    <w:rsid w:val="002D3F04"/>
    <w:rsid w:val="002D4A05"/>
    <w:rsid w:val="002D5303"/>
    <w:rsid w:val="002D7D0B"/>
    <w:rsid w:val="002E4DA9"/>
    <w:rsid w:val="002E7475"/>
    <w:rsid w:val="002F2186"/>
    <w:rsid w:val="002F78D9"/>
    <w:rsid w:val="00300D27"/>
    <w:rsid w:val="003024E2"/>
    <w:rsid w:val="00310E51"/>
    <w:rsid w:val="00320E2D"/>
    <w:rsid w:val="00327F8D"/>
    <w:rsid w:val="00334E5D"/>
    <w:rsid w:val="0033783D"/>
    <w:rsid w:val="00337919"/>
    <w:rsid w:val="00343154"/>
    <w:rsid w:val="00347052"/>
    <w:rsid w:val="00350A8A"/>
    <w:rsid w:val="00352E18"/>
    <w:rsid w:val="00356FBF"/>
    <w:rsid w:val="0035725F"/>
    <w:rsid w:val="003628D1"/>
    <w:rsid w:val="00366276"/>
    <w:rsid w:val="0037093F"/>
    <w:rsid w:val="00377B51"/>
    <w:rsid w:val="00377C19"/>
    <w:rsid w:val="00382356"/>
    <w:rsid w:val="003840FB"/>
    <w:rsid w:val="00391026"/>
    <w:rsid w:val="00391EFB"/>
    <w:rsid w:val="003A13CC"/>
    <w:rsid w:val="003A439F"/>
    <w:rsid w:val="003B0C3E"/>
    <w:rsid w:val="003B1B38"/>
    <w:rsid w:val="003B1D13"/>
    <w:rsid w:val="003B5404"/>
    <w:rsid w:val="003B56A8"/>
    <w:rsid w:val="003C1947"/>
    <w:rsid w:val="003C690B"/>
    <w:rsid w:val="003D0EB0"/>
    <w:rsid w:val="003D638C"/>
    <w:rsid w:val="003D7F0C"/>
    <w:rsid w:val="003F1580"/>
    <w:rsid w:val="003F220A"/>
    <w:rsid w:val="003F24F8"/>
    <w:rsid w:val="003F41CF"/>
    <w:rsid w:val="00405CA4"/>
    <w:rsid w:val="00410975"/>
    <w:rsid w:val="004178C6"/>
    <w:rsid w:val="00420033"/>
    <w:rsid w:val="004212B0"/>
    <w:rsid w:val="00427EB3"/>
    <w:rsid w:val="00430F90"/>
    <w:rsid w:val="00434876"/>
    <w:rsid w:val="00441843"/>
    <w:rsid w:val="004506A3"/>
    <w:rsid w:val="0045086D"/>
    <w:rsid w:val="00453C8A"/>
    <w:rsid w:val="00455796"/>
    <w:rsid w:val="00455A28"/>
    <w:rsid w:val="0045607F"/>
    <w:rsid w:val="00467D0C"/>
    <w:rsid w:val="00473907"/>
    <w:rsid w:val="00481710"/>
    <w:rsid w:val="004822AE"/>
    <w:rsid w:val="004870AA"/>
    <w:rsid w:val="0048735E"/>
    <w:rsid w:val="0049428F"/>
    <w:rsid w:val="0049478D"/>
    <w:rsid w:val="004A09B8"/>
    <w:rsid w:val="004A557A"/>
    <w:rsid w:val="004B0274"/>
    <w:rsid w:val="004B0D5B"/>
    <w:rsid w:val="004C19C2"/>
    <w:rsid w:val="004C2BB6"/>
    <w:rsid w:val="004C7C23"/>
    <w:rsid w:val="004D37E1"/>
    <w:rsid w:val="004E15A9"/>
    <w:rsid w:val="004E7AD2"/>
    <w:rsid w:val="004F15B6"/>
    <w:rsid w:val="004F399F"/>
    <w:rsid w:val="004F5C7F"/>
    <w:rsid w:val="0050732D"/>
    <w:rsid w:val="00513751"/>
    <w:rsid w:val="005204AF"/>
    <w:rsid w:val="005228C6"/>
    <w:rsid w:val="00525A5E"/>
    <w:rsid w:val="00527C65"/>
    <w:rsid w:val="005326F2"/>
    <w:rsid w:val="00541952"/>
    <w:rsid w:val="00541A55"/>
    <w:rsid w:val="00544EC8"/>
    <w:rsid w:val="00547248"/>
    <w:rsid w:val="00552E0B"/>
    <w:rsid w:val="00552EB7"/>
    <w:rsid w:val="00561F71"/>
    <w:rsid w:val="00563368"/>
    <w:rsid w:val="005650CE"/>
    <w:rsid w:val="0057161E"/>
    <w:rsid w:val="00572C37"/>
    <w:rsid w:val="0057543B"/>
    <w:rsid w:val="00577440"/>
    <w:rsid w:val="00581E64"/>
    <w:rsid w:val="00582BAA"/>
    <w:rsid w:val="0058358D"/>
    <w:rsid w:val="00593EE2"/>
    <w:rsid w:val="00594DF3"/>
    <w:rsid w:val="00596D38"/>
    <w:rsid w:val="005A5E13"/>
    <w:rsid w:val="005B3276"/>
    <w:rsid w:val="005C16AC"/>
    <w:rsid w:val="005C1DF8"/>
    <w:rsid w:val="005C2596"/>
    <w:rsid w:val="005C5AD4"/>
    <w:rsid w:val="005C657E"/>
    <w:rsid w:val="005D0404"/>
    <w:rsid w:val="005D0E2F"/>
    <w:rsid w:val="005D7071"/>
    <w:rsid w:val="005D730B"/>
    <w:rsid w:val="005E55E0"/>
    <w:rsid w:val="005F5C1D"/>
    <w:rsid w:val="005F61EB"/>
    <w:rsid w:val="00607FEC"/>
    <w:rsid w:val="006113E4"/>
    <w:rsid w:val="006138BA"/>
    <w:rsid w:val="006212AA"/>
    <w:rsid w:val="00633CA6"/>
    <w:rsid w:val="006418D5"/>
    <w:rsid w:val="0065244F"/>
    <w:rsid w:val="00655D82"/>
    <w:rsid w:val="00660186"/>
    <w:rsid w:val="0066669C"/>
    <w:rsid w:val="0067082D"/>
    <w:rsid w:val="006709DE"/>
    <w:rsid w:val="006748B2"/>
    <w:rsid w:val="00676925"/>
    <w:rsid w:val="00676BB2"/>
    <w:rsid w:val="006833C4"/>
    <w:rsid w:val="00696522"/>
    <w:rsid w:val="00696E34"/>
    <w:rsid w:val="0069791B"/>
    <w:rsid w:val="006B0A0A"/>
    <w:rsid w:val="006B779B"/>
    <w:rsid w:val="006C065F"/>
    <w:rsid w:val="006C2FF7"/>
    <w:rsid w:val="006C512B"/>
    <w:rsid w:val="006C5CF7"/>
    <w:rsid w:val="006D41C3"/>
    <w:rsid w:val="006E19C5"/>
    <w:rsid w:val="006E4B09"/>
    <w:rsid w:val="006E5267"/>
    <w:rsid w:val="006F2BE5"/>
    <w:rsid w:val="006F3BC2"/>
    <w:rsid w:val="006F75F0"/>
    <w:rsid w:val="00713B23"/>
    <w:rsid w:val="0071640D"/>
    <w:rsid w:val="007170F3"/>
    <w:rsid w:val="00730640"/>
    <w:rsid w:val="00736DD6"/>
    <w:rsid w:val="00737284"/>
    <w:rsid w:val="00740127"/>
    <w:rsid w:val="007774F2"/>
    <w:rsid w:val="00781BB9"/>
    <w:rsid w:val="00785548"/>
    <w:rsid w:val="00790B29"/>
    <w:rsid w:val="00791D3D"/>
    <w:rsid w:val="00793429"/>
    <w:rsid w:val="0079611B"/>
    <w:rsid w:val="00796A0B"/>
    <w:rsid w:val="007A7B80"/>
    <w:rsid w:val="007C5168"/>
    <w:rsid w:val="007C5B82"/>
    <w:rsid w:val="007D4792"/>
    <w:rsid w:val="007E6178"/>
    <w:rsid w:val="007E6849"/>
    <w:rsid w:val="007E79DC"/>
    <w:rsid w:val="007F09FA"/>
    <w:rsid w:val="007F1F6D"/>
    <w:rsid w:val="007F3CC9"/>
    <w:rsid w:val="007F486C"/>
    <w:rsid w:val="007F4CEF"/>
    <w:rsid w:val="00803226"/>
    <w:rsid w:val="00804674"/>
    <w:rsid w:val="008055D6"/>
    <w:rsid w:val="008057E8"/>
    <w:rsid w:val="00805C85"/>
    <w:rsid w:val="0080649F"/>
    <w:rsid w:val="00807847"/>
    <w:rsid w:val="008165C3"/>
    <w:rsid w:val="00823375"/>
    <w:rsid w:val="008321B7"/>
    <w:rsid w:val="00834EB3"/>
    <w:rsid w:val="00836328"/>
    <w:rsid w:val="00840E7D"/>
    <w:rsid w:val="0084784D"/>
    <w:rsid w:val="00850B98"/>
    <w:rsid w:val="008519CF"/>
    <w:rsid w:val="00852899"/>
    <w:rsid w:val="00856AF9"/>
    <w:rsid w:val="00865176"/>
    <w:rsid w:val="00882D31"/>
    <w:rsid w:val="00884E59"/>
    <w:rsid w:val="008922CF"/>
    <w:rsid w:val="00892CA1"/>
    <w:rsid w:val="00893BC7"/>
    <w:rsid w:val="00893EF7"/>
    <w:rsid w:val="008967CE"/>
    <w:rsid w:val="008A05CE"/>
    <w:rsid w:val="008A2764"/>
    <w:rsid w:val="008A3A02"/>
    <w:rsid w:val="008A5097"/>
    <w:rsid w:val="008B0FB8"/>
    <w:rsid w:val="008B47EE"/>
    <w:rsid w:val="008B61B9"/>
    <w:rsid w:val="008C7A73"/>
    <w:rsid w:val="008D1F04"/>
    <w:rsid w:val="008D7F86"/>
    <w:rsid w:val="008E200B"/>
    <w:rsid w:val="008E2C44"/>
    <w:rsid w:val="008E6F31"/>
    <w:rsid w:val="008E7966"/>
    <w:rsid w:val="008F004C"/>
    <w:rsid w:val="008F60D4"/>
    <w:rsid w:val="00900A60"/>
    <w:rsid w:val="00903040"/>
    <w:rsid w:val="009041EA"/>
    <w:rsid w:val="00906928"/>
    <w:rsid w:val="00906BE2"/>
    <w:rsid w:val="00907F30"/>
    <w:rsid w:val="00912A98"/>
    <w:rsid w:val="009233D3"/>
    <w:rsid w:val="009268F0"/>
    <w:rsid w:val="009324F0"/>
    <w:rsid w:val="00941A3F"/>
    <w:rsid w:val="0094217F"/>
    <w:rsid w:val="009435A5"/>
    <w:rsid w:val="00945183"/>
    <w:rsid w:val="009479D2"/>
    <w:rsid w:val="00961322"/>
    <w:rsid w:val="00964D5F"/>
    <w:rsid w:val="009668FC"/>
    <w:rsid w:val="00973487"/>
    <w:rsid w:val="00981925"/>
    <w:rsid w:val="009834A2"/>
    <w:rsid w:val="00987B9A"/>
    <w:rsid w:val="00987E39"/>
    <w:rsid w:val="009A1FC2"/>
    <w:rsid w:val="009B1BE3"/>
    <w:rsid w:val="009C1CF8"/>
    <w:rsid w:val="009C21D5"/>
    <w:rsid w:val="009C23BF"/>
    <w:rsid w:val="009C31B7"/>
    <w:rsid w:val="009C7C45"/>
    <w:rsid w:val="009E3E51"/>
    <w:rsid w:val="009F3477"/>
    <w:rsid w:val="009F5AE0"/>
    <w:rsid w:val="009F7C7C"/>
    <w:rsid w:val="00A01F69"/>
    <w:rsid w:val="00A060A0"/>
    <w:rsid w:val="00A12376"/>
    <w:rsid w:val="00A16D7B"/>
    <w:rsid w:val="00A20452"/>
    <w:rsid w:val="00A22159"/>
    <w:rsid w:val="00A34863"/>
    <w:rsid w:val="00A36F57"/>
    <w:rsid w:val="00A43C3D"/>
    <w:rsid w:val="00A45B5D"/>
    <w:rsid w:val="00A618F8"/>
    <w:rsid w:val="00A731C1"/>
    <w:rsid w:val="00A84FD9"/>
    <w:rsid w:val="00A90340"/>
    <w:rsid w:val="00A916FA"/>
    <w:rsid w:val="00A94378"/>
    <w:rsid w:val="00A96E54"/>
    <w:rsid w:val="00A97A9C"/>
    <w:rsid w:val="00AA0D31"/>
    <w:rsid w:val="00AA47F7"/>
    <w:rsid w:val="00AB1AFB"/>
    <w:rsid w:val="00AB2A71"/>
    <w:rsid w:val="00AC0204"/>
    <w:rsid w:val="00AC579C"/>
    <w:rsid w:val="00AC5D40"/>
    <w:rsid w:val="00AD5FE6"/>
    <w:rsid w:val="00AE0744"/>
    <w:rsid w:val="00AF09C4"/>
    <w:rsid w:val="00B04B8F"/>
    <w:rsid w:val="00B07635"/>
    <w:rsid w:val="00B2140B"/>
    <w:rsid w:val="00B30525"/>
    <w:rsid w:val="00B31376"/>
    <w:rsid w:val="00B3268D"/>
    <w:rsid w:val="00B3551A"/>
    <w:rsid w:val="00B35D42"/>
    <w:rsid w:val="00B41379"/>
    <w:rsid w:val="00B443CC"/>
    <w:rsid w:val="00B516A1"/>
    <w:rsid w:val="00B52869"/>
    <w:rsid w:val="00B55FA3"/>
    <w:rsid w:val="00B57FB1"/>
    <w:rsid w:val="00B57FE5"/>
    <w:rsid w:val="00B644F1"/>
    <w:rsid w:val="00B84237"/>
    <w:rsid w:val="00B969D2"/>
    <w:rsid w:val="00BA7CA1"/>
    <w:rsid w:val="00BB0590"/>
    <w:rsid w:val="00BC4055"/>
    <w:rsid w:val="00BD4CA2"/>
    <w:rsid w:val="00BD6470"/>
    <w:rsid w:val="00BF1B87"/>
    <w:rsid w:val="00BF304C"/>
    <w:rsid w:val="00BF3C4D"/>
    <w:rsid w:val="00BF3F1D"/>
    <w:rsid w:val="00BF6739"/>
    <w:rsid w:val="00C02BE5"/>
    <w:rsid w:val="00C044DE"/>
    <w:rsid w:val="00C04D92"/>
    <w:rsid w:val="00C13D35"/>
    <w:rsid w:val="00C25C23"/>
    <w:rsid w:val="00C26284"/>
    <w:rsid w:val="00C34B11"/>
    <w:rsid w:val="00C35F50"/>
    <w:rsid w:val="00C420FD"/>
    <w:rsid w:val="00C43DE8"/>
    <w:rsid w:val="00C44546"/>
    <w:rsid w:val="00C457FA"/>
    <w:rsid w:val="00C53597"/>
    <w:rsid w:val="00C57BF2"/>
    <w:rsid w:val="00C7369B"/>
    <w:rsid w:val="00C74557"/>
    <w:rsid w:val="00C74F8F"/>
    <w:rsid w:val="00C754BD"/>
    <w:rsid w:val="00C82D1B"/>
    <w:rsid w:val="00C848F3"/>
    <w:rsid w:val="00C93D70"/>
    <w:rsid w:val="00C9445F"/>
    <w:rsid w:val="00C96F90"/>
    <w:rsid w:val="00CA4ED8"/>
    <w:rsid w:val="00CA65D7"/>
    <w:rsid w:val="00CB1C4C"/>
    <w:rsid w:val="00CC09BB"/>
    <w:rsid w:val="00CC1AF5"/>
    <w:rsid w:val="00CC360A"/>
    <w:rsid w:val="00CC3A16"/>
    <w:rsid w:val="00CC570B"/>
    <w:rsid w:val="00CC573D"/>
    <w:rsid w:val="00CD2ABA"/>
    <w:rsid w:val="00CE1A47"/>
    <w:rsid w:val="00D002C3"/>
    <w:rsid w:val="00D04066"/>
    <w:rsid w:val="00D065FB"/>
    <w:rsid w:val="00D148E6"/>
    <w:rsid w:val="00D17EEF"/>
    <w:rsid w:val="00D34677"/>
    <w:rsid w:val="00D369BA"/>
    <w:rsid w:val="00D46A31"/>
    <w:rsid w:val="00D56D7E"/>
    <w:rsid w:val="00D605BF"/>
    <w:rsid w:val="00D66696"/>
    <w:rsid w:val="00D74E71"/>
    <w:rsid w:val="00D7619F"/>
    <w:rsid w:val="00D77200"/>
    <w:rsid w:val="00D83434"/>
    <w:rsid w:val="00D83F84"/>
    <w:rsid w:val="00D85F2D"/>
    <w:rsid w:val="00D90CAF"/>
    <w:rsid w:val="00D97126"/>
    <w:rsid w:val="00DA4E18"/>
    <w:rsid w:val="00DA519A"/>
    <w:rsid w:val="00DC3704"/>
    <w:rsid w:val="00DC3D8C"/>
    <w:rsid w:val="00DC5B79"/>
    <w:rsid w:val="00DD02E0"/>
    <w:rsid w:val="00DD108E"/>
    <w:rsid w:val="00DD1709"/>
    <w:rsid w:val="00DD180E"/>
    <w:rsid w:val="00DD58DA"/>
    <w:rsid w:val="00DE5529"/>
    <w:rsid w:val="00DF05BD"/>
    <w:rsid w:val="00E038D1"/>
    <w:rsid w:val="00E06004"/>
    <w:rsid w:val="00E06620"/>
    <w:rsid w:val="00E15A62"/>
    <w:rsid w:val="00E230BB"/>
    <w:rsid w:val="00E31A78"/>
    <w:rsid w:val="00E3381B"/>
    <w:rsid w:val="00E368CC"/>
    <w:rsid w:val="00E568D0"/>
    <w:rsid w:val="00E6367D"/>
    <w:rsid w:val="00E6416A"/>
    <w:rsid w:val="00E64C20"/>
    <w:rsid w:val="00E71876"/>
    <w:rsid w:val="00E80509"/>
    <w:rsid w:val="00E82808"/>
    <w:rsid w:val="00E84D36"/>
    <w:rsid w:val="00E91BB7"/>
    <w:rsid w:val="00E95A4D"/>
    <w:rsid w:val="00E96FA1"/>
    <w:rsid w:val="00E970EA"/>
    <w:rsid w:val="00EA05D5"/>
    <w:rsid w:val="00EA0CA1"/>
    <w:rsid w:val="00EA422B"/>
    <w:rsid w:val="00EB03C9"/>
    <w:rsid w:val="00EB0D6E"/>
    <w:rsid w:val="00EB1E17"/>
    <w:rsid w:val="00EB34A2"/>
    <w:rsid w:val="00EB516C"/>
    <w:rsid w:val="00EB7F38"/>
    <w:rsid w:val="00EC038B"/>
    <w:rsid w:val="00ED33A5"/>
    <w:rsid w:val="00EE0357"/>
    <w:rsid w:val="00EE3F5D"/>
    <w:rsid w:val="00EF0400"/>
    <w:rsid w:val="00EF4574"/>
    <w:rsid w:val="00EF6BE6"/>
    <w:rsid w:val="00F10D25"/>
    <w:rsid w:val="00F215C8"/>
    <w:rsid w:val="00F31049"/>
    <w:rsid w:val="00F36302"/>
    <w:rsid w:val="00F42D15"/>
    <w:rsid w:val="00F46D6A"/>
    <w:rsid w:val="00F507B5"/>
    <w:rsid w:val="00F51AB9"/>
    <w:rsid w:val="00F5255E"/>
    <w:rsid w:val="00F5614B"/>
    <w:rsid w:val="00F629C7"/>
    <w:rsid w:val="00F66470"/>
    <w:rsid w:val="00F67EC8"/>
    <w:rsid w:val="00F71B89"/>
    <w:rsid w:val="00F81DFE"/>
    <w:rsid w:val="00F82216"/>
    <w:rsid w:val="00F85570"/>
    <w:rsid w:val="00FA65D2"/>
    <w:rsid w:val="00FB6D57"/>
    <w:rsid w:val="00FB6E53"/>
    <w:rsid w:val="00FB751B"/>
    <w:rsid w:val="00FD305A"/>
    <w:rsid w:val="00FD4E6B"/>
    <w:rsid w:val="00FE01D3"/>
    <w:rsid w:val="00FE378C"/>
    <w:rsid w:val="00FE6608"/>
    <w:rsid w:val="00FF0BBC"/>
    <w:rsid w:val="00FF2DE0"/>
    <w:rsid w:val="00FF4A9B"/>
    <w:rsid w:val="00FF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4CE477"/>
  <w15:docId w15:val="{68A48CFA-7682-447C-BD72-77727EF5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0FB"/>
    <w:rPr>
      <w:sz w:val="24"/>
      <w:szCs w:val="24"/>
      <w:lang w:val="en-GB"/>
    </w:rPr>
  </w:style>
  <w:style w:type="paragraph" w:styleId="Heading1">
    <w:name w:val="heading 1"/>
    <w:basedOn w:val="Normal"/>
    <w:next w:val="Normal"/>
    <w:link w:val="Heading1Char"/>
    <w:qFormat/>
    <w:rsid w:val="007A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F0BBC"/>
    <w:pPr>
      <w:keepNext/>
      <w:spacing w:line="360" w:lineRule="auto"/>
      <w:jc w:val="center"/>
      <w:outlineLvl w:val="1"/>
    </w:pPr>
    <w:rPr>
      <w:b/>
      <w:szCs w:val="20"/>
      <w:lang w:val="el-GR" w:eastAsia="el-GR"/>
    </w:rPr>
  </w:style>
  <w:style w:type="paragraph" w:styleId="Heading3">
    <w:name w:val="heading 3"/>
    <w:basedOn w:val="Normal"/>
    <w:next w:val="Normal"/>
    <w:link w:val="Heading3Char"/>
    <w:qFormat/>
    <w:rsid w:val="001F6F37"/>
    <w:pPr>
      <w:keepNext/>
      <w:outlineLvl w:val="2"/>
    </w:pPr>
    <w:rPr>
      <w:b/>
      <w:bCs/>
      <w:sz w:val="16"/>
      <w:szCs w:val="12"/>
      <w:lang w:val="el-GR"/>
    </w:rPr>
  </w:style>
  <w:style w:type="paragraph" w:styleId="Heading4">
    <w:name w:val="heading 4"/>
    <w:basedOn w:val="Normal"/>
    <w:next w:val="Normal"/>
    <w:link w:val="Heading4Char"/>
    <w:qFormat/>
    <w:rsid w:val="001F6F37"/>
    <w:pPr>
      <w:keepNext/>
      <w:outlineLvl w:val="3"/>
    </w:pPr>
    <w:rPr>
      <w:b/>
      <w:bCs/>
      <w:sz w:val="18"/>
      <w:szCs w:val="12"/>
      <w:lang w:val="el-GR"/>
    </w:rPr>
  </w:style>
  <w:style w:type="paragraph" w:styleId="Heading5">
    <w:name w:val="heading 5"/>
    <w:basedOn w:val="Normal"/>
    <w:next w:val="Normal"/>
    <w:link w:val="Heading5Char"/>
    <w:qFormat/>
    <w:rsid w:val="001F6F37"/>
    <w:pPr>
      <w:keepNext/>
      <w:jc w:val="both"/>
      <w:outlineLvl w:val="4"/>
    </w:pPr>
    <w:rPr>
      <w:b/>
      <w:bCs/>
      <w:i/>
      <w:iCs/>
      <w:sz w:val="20"/>
      <w:lang w:val="el-GR"/>
    </w:rPr>
  </w:style>
  <w:style w:type="paragraph" w:styleId="Heading6">
    <w:name w:val="heading 6"/>
    <w:basedOn w:val="Normal"/>
    <w:next w:val="Normal"/>
    <w:link w:val="Heading6Char"/>
    <w:qFormat/>
    <w:rsid w:val="001F6F37"/>
    <w:pPr>
      <w:keepNext/>
      <w:jc w:val="center"/>
      <w:outlineLvl w:val="5"/>
    </w:pPr>
    <w:rPr>
      <w:b/>
      <w:bCs/>
      <w:i/>
      <w:iCs/>
      <w:sz w:val="20"/>
      <w:lang w:val="el-GR"/>
    </w:rPr>
  </w:style>
  <w:style w:type="paragraph" w:styleId="Heading7">
    <w:name w:val="heading 7"/>
    <w:basedOn w:val="Normal"/>
    <w:next w:val="Normal"/>
    <w:link w:val="Heading7Char"/>
    <w:qFormat/>
    <w:rsid w:val="001F6F37"/>
    <w:pPr>
      <w:keepNext/>
      <w:jc w:val="both"/>
      <w:outlineLvl w:val="6"/>
    </w:pPr>
    <w:rPr>
      <w:b/>
      <w:bCs/>
      <w:u w:val="single"/>
      <w:lang w:val="el-GR"/>
    </w:rPr>
  </w:style>
  <w:style w:type="paragraph" w:styleId="Heading8">
    <w:name w:val="heading 8"/>
    <w:basedOn w:val="Normal"/>
    <w:next w:val="Normal"/>
    <w:link w:val="Heading8Char"/>
    <w:qFormat/>
    <w:rsid w:val="001F6F37"/>
    <w:pPr>
      <w:keepNext/>
      <w:jc w:val="both"/>
      <w:outlineLvl w:val="7"/>
    </w:pPr>
    <w:rPr>
      <w:b/>
      <w:bCs/>
      <w:lang w:val="el-GR"/>
    </w:rPr>
  </w:style>
  <w:style w:type="paragraph" w:styleId="Heading9">
    <w:name w:val="heading 9"/>
    <w:basedOn w:val="Normal"/>
    <w:next w:val="Normal"/>
    <w:link w:val="Heading9Char"/>
    <w:qFormat/>
    <w:rsid w:val="001F6F37"/>
    <w:pPr>
      <w:keepNext/>
      <w:outlineLvl w:val="8"/>
    </w:pPr>
    <w:rPr>
      <w:b/>
      <w:bCs/>
      <w:i/>
      <w:i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7B8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rsid w:val="00FF0BBC"/>
    <w:rPr>
      <w:b/>
      <w:sz w:val="24"/>
      <w:lang w:val="el-GR" w:eastAsia="el-GR"/>
    </w:rPr>
  </w:style>
  <w:style w:type="character" w:customStyle="1" w:styleId="Heading3Char">
    <w:name w:val="Heading 3 Char"/>
    <w:basedOn w:val="DefaultParagraphFont"/>
    <w:link w:val="Heading3"/>
    <w:rsid w:val="001F6F37"/>
    <w:rPr>
      <w:b/>
      <w:bCs/>
      <w:sz w:val="16"/>
      <w:szCs w:val="12"/>
      <w:lang w:val="el-GR"/>
    </w:rPr>
  </w:style>
  <w:style w:type="character" w:customStyle="1" w:styleId="Heading4Char">
    <w:name w:val="Heading 4 Char"/>
    <w:basedOn w:val="DefaultParagraphFont"/>
    <w:link w:val="Heading4"/>
    <w:rsid w:val="001F6F37"/>
    <w:rPr>
      <w:b/>
      <w:bCs/>
      <w:sz w:val="18"/>
      <w:szCs w:val="12"/>
      <w:lang w:val="el-GR"/>
    </w:rPr>
  </w:style>
  <w:style w:type="character" w:customStyle="1" w:styleId="Heading5Char">
    <w:name w:val="Heading 5 Char"/>
    <w:basedOn w:val="DefaultParagraphFont"/>
    <w:link w:val="Heading5"/>
    <w:rsid w:val="001F6F37"/>
    <w:rPr>
      <w:b/>
      <w:bCs/>
      <w:i/>
      <w:iCs/>
      <w:szCs w:val="24"/>
      <w:lang w:val="el-GR"/>
    </w:rPr>
  </w:style>
  <w:style w:type="character" w:customStyle="1" w:styleId="Heading6Char">
    <w:name w:val="Heading 6 Char"/>
    <w:basedOn w:val="DefaultParagraphFont"/>
    <w:link w:val="Heading6"/>
    <w:rsid w:val="001F6F37"/>
    <w:rPr>
      <w:b/>
      <w:bCs/>
      <w:i/>
      <w:iCs/>
      <w:szCs w:val="24"/>
      <w:lang w:val="el-GR"/>
    </w:rPr>
  </w:style>
  <w:style w:type="character" w:customStyle="1" w:styleId="Heading7Char">
    <w:name w:val="Heading 7 Char"/>
    <w:basedOn w:val="DefaultParagraphFont"/>
    <w:link w:val="Heading7"/>
    <w:rsid w:val="001F6F37"/>
    <w:rPr>
      <w:b/>
      <w:bCs/>
      <w:sz w:val="24"/>
      <w:szCs w:val="24"/>
      <w:u w:val="single"/>
      <w:lang w:val="el-GR"/>
    </w:rPr>
  </w:style>
  <w:style w:type="character" w:customStyle="1" w:styleId="Heading8Char">
    <w:name w:val="Heading 8 Char"/>
    <w:basedOn w:val="DefaultParagraphFont"/>
    <w:link w:val="Heading8"/>
    <w:rsid w:val="001F6F37"/>
    <w:rPr>
      <w:b/>
      <w:bCs/>
      <w:sz w:val="24"/>
      <w:szCs w:val="24"/>
      <w:lang w:val="el-GR"/>
    </w:rPr>
  </w:style>
  <w:style w:type="character" w:customStyle="1" w:styleId="Heading9Char">
    <w:name w:val="Heading 9 Char"/>
    <w:basedOn w:val="DefaultParagraphFont"/>
    <w:link w:val="Heading9"/>
    <w:rsid w:val="001F6F37"/>
    <w:rPr>
      <w:b/>
      <w:bCs/>
      <w:i/>
      <w:iCs/>
      <w:szCs w:val="24"/>
      <w:lang w:val="el-GR"/>
    </w:rPr>
  </w:style>
  <w:style w:type="paragraph" w:styleId="Header">
    <w:name w:val="header"/>
    <w:basedOn w:val="Normal"/>
    <w:link w:val="HeaderChar"/>
    <w:rsid w:val="008A3A02"/>
    <w:pPr>
      <w:tabs>
        <w:tab w:val="center" w:pos="4153"/>
        <w:tab w:val="right" w:pos="8306"/>
      </w:tabs>
    </w:pPr>
    <w:rPr>
      <w:sz w:val="20"/>
      <w:szCs w:val="20"/>
    </w:rPr>
  </w:style>
  <w:style w:type="character" w:customStyle="1" w:styleId="HeaderChar">
    <w:name w:val="Header Char"/>
    <w:basedOn w:val="DefaultParagraphFont"/>
    <w:link w:val="Header"/>
    <w:locked/>
    <w:rsid w:val="004870AA"/>
    <w:rPr>
      <w:lang w:val="en-GB"/>
    </w:rPr>
  </w:style>
  <w:style w:type="paragraph" w:styleId="Footer">
    <w:name w:val="footer"/>
    <w:basedOn w:val="Normal"/>
    <w:link w:val="FooterChar"/>
    <w:uiPriority w:val="99"/>
    <w:rsid w:val="008A3A0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4870AA"/>
    <w:rPr>
      <w:lang w:val="en-GB"/>
    </w:rPr>
  </w:style>
  <w:style w:type="character" w:styleId="PageNumber">
    <w:name w:val="page number"/>
    <w:basedOn w:val="DefaultParagraphFont"/>
    <w:rsid w:val="008A3A02"/>
  </w:style>
  <w:style w:type="paragraph" w:styleId="Title">
    <w:name w:val="Title"/>
    <w:basedOn w:val="Normal"/>
    <w:link w:val="TitleChar"/>
    <w:qFormat/>
    <w:rsid w:val="008A3A02"/>
    <w:pPr>
      <w:pBdr>
        <w:top w:val="single" w:sz="18" w:space="1" w:color="auto"/>
        <w:bottom w:val="single" w:sz="18" w:space="1" w:color="auto"/>
      </w:pBdr>
      <w:shd w:val="pct10" w:color="auto" w:fill="auto"/>
      <w:jc w:val="center"/>
    </w:pPr>
    <w:rPr>
      <w:b/>
      <w:sz w:val="36"/>
      <w:szCs w:val="20"/>
    </w:rPr>
  </w:style>
  <w:style w:type="character" w:customStyle="1" w:styleId="TitleChar">
    <w:name w:val="Title Char"/>
    <w:link w:val="Title"/>
    <w:rsid w:val="00E368CC"/>
    <w:rPr>
      <w:b/>
      <w:sz w:val="36"/>
      <w:shd w:val="pct10" w:color="auto" w:fill="auto"/>
      <w:lang w:eastAsia="en-US"/>
    </w:rPr>
  </w:style>
  <w:style w:type="paragraph" w:styleId="BodyText">
    <w:name w:val="Body Text"/>
    <w:basedOn w:val="Normal"/>
    <w:rsid w:val="008A3A02"/>
    <w:pPr>
      <w:jc w:val="both"/>
    </w:pPr>
    <w:rPr>
      <w:lang w:val="el-GR"/>
    </w:rPr>
  </w:style>
  <w:style w:type="paragraph" w:customStyle="1" w:styleId="I-1">
    <w:name w:val="I-1"/>
    <w:basedOn w:val="Normal"/>
    <w:rsid w:val="008A3A02"/>
    <w:pPr>
      <w:widowControl w:val="0"/>
      <w:spacing w:after="240"/>
      <w:ind w:left="567" w:hanging="567"/>
      <w:jc w:val="both"/>
    </w:pPr>
    <w:rPr>
      <w:rFonts w:ascii="UB-Century" w:hAnsi="UB-Century"/>
      <w:sz w:val="22"/>
      <w:szCs w:val="20"/>
      <w:lang w:val="el-GR" w:eastAsia="el-GR"/>
    </w:rPr>
  </w:style>
  <w:style w:type="paragraph" w:styleId="BodyText3">
    <w:name w:val="Body Text 3"/>
    <w:basedOn w:val="Normal"/>
    <w:rsid w:val="008A3A02"/>
    <w:rPr>
      <w:i/>
      <w:iCs/>
      <w:sz w:val="28"/>
      <w:lang w:val="el-GR"/>
    </w:rPr>
  </w:style>
  <w:style w:type="paragraph" w:styleId="BodyTextIndent">
    <w:name w:val="Body Text Indent"/>
    <w:basedOn w:val="Normal"/>
    <w:rsid w:val="008A3A02"/>
    <w:pPr>
      <w:spacing w:after="120"/>
      <w:ind w:left="283"/>
    </w:pPr>
  </w:style>
  <w:style w:type="paragraph" w:styleId="BalloonText">
    <w:name w:val="Balloon Text"/>
    <w:basedOn w:val="Normal"/>
    <w:link w:val="BalloonTextChar"/>
    <w:semiHidden/>
    <w:rsid w:val="00D66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0AA"/>
    <w:rPr>
      <w:rFonts w:ascii="Tahoma" w:hAnsi="Tahoma" w:cs="Tahoma"/>
      <w:sz w:val="16"/>
      <w:szCs w:val="16"/>
      <w:lang w:val="en-GB"/>
    </w:rPr>
  </w:style>
  <w:style w:type="character" w:styleId="Strong">
    <w:name w:val="Strong"/>
    <w:qFormat/>
    <w:rsid w:val="00E84D36"/>
    <w:rPr>
      <w:b/>
      <w:bCs/>
    </w:rPr>
  </w:style>
  <w:style w:type="paragraph" w:styleId="FootnoteText">
    <w:name w:val="footnote text"/>
    <w:basedOn w:val="Normal"/>
    <w:link w:val="FootnoteTextChar"/>
    <w:rsid w:val="00633CA6"/>
    <w:rPr>
      <w:sz w:val="20"/>
      <w:szCs w:val="20"/>
    </w:rPr>
  </w:style>
  <w:style w:type="character" w:customStyle="1" w:styleId="FootnoteTextChar">
    <w:name w:val="Footnote Text Char"/>
    <w:link w:val="FootnoteText"/>
    <w:rsid w:val="00633CA6"/>
    <w:rPr>
      <w:lang w:val="en-GB" w:eastAsia="en-US"/>
    </w:rPr>
  </w:style>
  <w:style w:type="character" w:styleId="FootnoteReference">
    <w:name w:val="footnote reference"/>
    <w:rsid w:val="00633CA6"/>
    <w:rPr>
      <w:vertAlign w:val="superscript"/>
    </w:rPr>
  </w:style>
  <w:style w:type="paragraph" w:styleId="BodyTextIndent2">
    <w:name w:val="Body Text Indent 2"/>
    <w:basedOn w:val="Normal"/>
    <w:link w:val="BodyTextIndent2Char"/>
    <w:rsid w:val="00633CA6"/>
    <w:pPr>
      <w:spacing w:after="120" w:line="480" w:lineRule="auto"/>
      <w:ind w:left="283"/>
    </w:pPr>
  </w:style>
  <w:style w:type="character" w:customStyle="1" w:styleId="BodyTextIndent2Char">
    <w:name w:val="Body Text Indent 2 Char"/>
    <w:link w:val="BodyTextIndent2"/>
    <w:rsid w:val="00633CA6"/>
    <w:rPr>
      <w:sz w:val="24"/>
      <w:szCs w:val="24"/>
      <w:lang w:val="en-GB" w:eastAsia="en-US"/>
    </w:rPr>
  </w:style>
  <w:style w:type="paragraph" w:styleId="BodyTextIndent3">
    <w:name w:val="Body Text Indent 3"/>
    <w:basedOn w:val="Normal"/>
    <w:link w:val="BodyTextIndent3Char"/>
    <w:rsid w:val="00633CA6"/>
    <w:pPr>
      <w:spacing w:after="120"/>
      <w:ind w:left="283"/>
    </w:pPr>
    <w:rPr>
      <w:sz w:val="16"/>
      <w:szCs w:val="16"/>
    </w:rPr>
  </w:style>
  <w:style w:type="character" w:customStyle="1" w:styleId="BodyTextIndent3Char">
    <w:name w:val="Body Text Indent 3 Char"/>
    <w:link w:val="BodyTextIndent3"/>
    <w:rsid w:val="00633CA6"/>
    <w:rPr>
      <w:sz w:val="16"/>
      <w:szCs w:val="16"/>
      <w:lang w:val="en-GB" w:eastAsia="en-US"/>
    </w:rPr>
  </w:style>
  <w:style w:type="table" w:styleId="TableGrid">
    <w:name w:val="Table Grid"/>
    <w:basedOn w:val="TableNormal"/>
    <w:uiPriority w:val="59"/>
    <w:rsid w:val="0098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4F5C7F"/>
    <w:pPr>
      <w:autoSpaceDE w:val="0"/>
      <w:autoSpaceDN w:val="0"/>
      <w:adjustRightInd w:val="0"/>
    </w:pPr>
    <w:rPr>
      <w:rFonts w:ascii="EUAlbertina" w:hAnsi="EUAlbertina"/>
      <w:lang w:val="en-US"/>
    </w:rPr>
  </w:style>
  <w:style w:type="character" w:styleId="CommentReference">
    <w:name w:val="annotation reference"/>
    <w:uiPriority w:val="99"/>
    <w:rsid w:val="006C5CF7"/>
    <w:rPr>
      <w:sz w:val="16"/>
      <w:szCs w:val="16"/>
    </w:rPr>
  </w:style>
  <w:style w:type="paragraph" w:styleId="CommentText">
    <w:name w:val="annotation text"/>
    <w:basedOn w:val="Normal"/>
    <w:link w:val="CommentTextChar"/>
    <w:uiPriority w:val="99"/>
    <w:rsid w:val="006C5CF7"/>
    <w:rPr>
      <w:sz w:val="20"/>
      <w:szCs w:val="20"/>
    </w:rPr>
  </w:style>
  <w:style w:type="character" w:customStyle="1" w:styleId="CommentTextChar">
    <w:name w:val="Comment Text Char"/>
    <w:link w:val="CommentText"/>
    <w:uiPriority w:val="99"/>
    <w:rsid w:val="006C5CF7"/>
    <w:rPr>
      <w:lang w:val="en-GB" w:eastAsia="en-US"/>
    </w:rPr>
  </w:style>
  <w:style w:type="paragraph" w:styleId="CommentSubject">
    <w:name w:val="annotation subject"/>
    <w:basedOn w:val="CommentText"/>
    <w:next w:val="CommentText"/>
    <w:link w:val="CommentSubjectChar"/>
    <w:rsid w:val="006C5CF7"/>
    <w:rPr>
      <w:b/>
      <w:bCs/>
    </w:rPr>
  </w:style>
  <w:style w:type="character" w:customStyle="1" w:styleId="CommentSubjectChar">
    <w:name w:val="Comment Subject Char"/>
    <w:link w:val="CommentSubject"/>
    <w:rsid w:val="006C5CF7"/>
    <w:rPr>
      <w:b/>
      <w:bCs/>
      <w:lang w:val="en-GB" w:eastAsia="en-US"/>
    </w:rPr>
  </w:style>
  <w:style w:type="character" w:styleId="Hyperlink">
    <w:name w:val="Hyperlink"/>
    <w:basedOn w:val="DefaultParagraphFont"/>
    <w:uiPriority w:val="99"/>
    <w:rsid w:val="005C16AC"/>
    <w:rPr>
      <w:color w:val="0000FF" w:themeColor="hyperlink"/>
      <w:u w:val="single"/>
    </w:rPr>
  </w:style>
  <w:style w:type="paragraph" w:styleId="ListParagraph">
    <w:name w:val="List Paragraph"/>
    <w:basedOn w:val="Normal"/>
    <w:uiPriority w:val="34"/>
    <w:qFormat/>
    <w:rsid w:val="004870AA"/>
    <w:pPr>
      <w:spacing w:after="200" w:line="276" w:lineRule="auto"/>
      <w:ind w:left="720"/>
      <w:contextualSpacing/>
    </w:pPr>
    <w:rPr>
      <w:rFonts w:ascii="Calibri" w:eastAsia="Calibri" w:hAnsi="Calibri"/>
      <w:sz w:val="22"/>
      <w:szCs w:val="22"/>
      <w:lang w:val="el-GR"/>
    </w:rPr>
  </w:style>
  <w:style w:type="paragraph" w:customStyle="1" w:styleId="Default">
    <w:name w:val="Default"/>
    <w:rsid w:val="004870AA"/>
    <w:pPr>
      <w:autoSpaceDE w:val="0"/>
      <w:autoSpaceDN w:val="0"/>
      <w:adjustRightInd w:val="0"/>
    </w:pPr>
    <w:rPr>
      <w:rFonts w:ascii="Arial" w:eastAsia="Calibri" w:hAnsi="Arial" w:cs="Arial"/>
      <w:color w:val="000000"/>
      <w:sz w:val="24"/>
      <w:szCs w:val="24"/>
      <w:lang w:val="el-GR"/>
    </w:rPr>
  </w:style>
  <w:style w:type="paragraph" w:styleId="NormalWeb">
    <w:name w:val="Normal (Web)"/>
    <w:basedOn w:val="Normal"/>
    <w:rsid w:val="004870AA"/>
    <w:pPr>
      <w:spacing w:before="100" w:beforeAutospacing="1" w:after="100" w:afterAutospacing="1"/>
    </w:pPr>
    <w:rPr>
      <w:lang w:val="el-GR" w:eastAsia="el-GR"/>
    </w:rPr>
  </w:style>
  <w:style w:type="paragraph" w:styleId="Revision">
    <w:name w:val="Revision"/>
    <w:hidden/>
    <w:uiPriority w:val="99"/>
    <w:semiHidden/>
    <w:rsid w:val="000C5FDA"/>
    <w:rPr>
      <w:rFonts w:ascii="Calibri" w:eastAsia="Calibri" w:hAnsi="Calibri"/>
      <w:sz w:val="22"/>
      <w:szCs w:val="22"/>
      <w:lang w:val="el-GR"/>
    </w:rPr>
  </w:style>
  <w:style w:type="paragraph" w:styleId="BodyText2">
    <w:name w:val="Body Text 2"/>
    <w:basedOn w:val="Normal"/>
    <w:link w:val="BodyText2Char"/>
    <w:unhideWhenUsed/>
    <w:rsid w:val="00E06620"/>
    <w:pPr>
      <w:spacing w:after="120" w:line="480" w:lineRule="auto"/>
    </w:pPr>
  </w:style>
  <w:style w:type="character" w:customStyle="1" w:styleId="BodyText2Char">
    <w:name w:val="Body Text 2 Char"/>
    <w:basedOn w:val="DefaultParagraphFont"/>
    <w:link w:val="BodyText2"/>
    <w:semiHidden/>
    <w:rsid w:val="00E06620"/>
    <w:rPr>
      <w:sz w:val="24"/>
      <w:szCs w:val="24"/>
      <w:lang w:val="en-GB"/>
    </w:rPr>
  </w:style>
  <w:style w:type="character" w:customStyle="1" w:styleId="apple-converted-space">
    <w:name w:val="apple-converted-space"/>
    <w:basedOn w:val="DefaultParagraphFont"/>
    <w:rsid w:val="00FF4A9B"/>
  </w:style>
  <w:style w:type="character" w:styleId="Emphasis">
    <w:name w:val="Emphasis"/>
    <w:basedOn w:val="DefaultParagraphFont"/>
    <w:uiPriority w:val="20"/>
    <w:qFormat/>
    <w:rsid w:val="00FF4A9B"/>
    <w:rPr>
      <w:i/>
      <w:iCs/>
    </w:rPr>
  </w:style>
  <w:style w:type="paragraph" w:customStyle="1" w:styleId="MainBody">
    <w:name w:val="Main Body"/>
    <w:basedOn w:val="Normal"/>
    <w:rsid w:val="001F6F37"/>
    <w:pPr>
      <w:ind w:firstLine="720"/>
      <w:jc w:val="both"/>
    </w:pPr>
    <w:rPr>
      <w:rFonts w:ascii="Arial" w:hAnsi="Arial"/>
      <w:sz w:val="23"/>
      <w:szCs w:val="20"/>
      <w:lang w:val="el-GR" w:eastAsia="el-GR"/>
    </w:rPr>
  </w:style>
  <w:style w:type="paragraph" w:customStyle="1" w:styleId="txt-1">
    <w:name w:val="txt-1"/>
    <w:basedOn w:val="Normal"/>
    <w:rsid w:val="001F6F37"/>
    <w:pPr>
      <w:spacing w:line="360" w:lineRule="atLeast"/>
      <w:ind w:firstLine="567"/>
      <w:jc w:val="both"/>
    </w:pPr>
    <w:rPr>
      <w:rFonts w:ascii="Arial" w:hAnsi="Arial"/>
      <w:sz w:val="26"/>
      <w:szCs w:val="20"/>
    </w:rPr>
  </w:style>
  <w:style w:type="paragraph" w:styleId="Caption">
    <w:name w:val="caption"/>
    <w:basedOn w:val="Normal"/>
    <w:next w:val="Normal"/>
    <w:qFormat/>
    <w:rsid w:val="001F6F37"/>
    <w:pPr>
      <w:jc w:val="center"/>
    </w:pPr>
    <w:rPr>
      <w:b/>
      <w:bCs/>
      <w:lang w:val="el-GR"/>
    </w:rPr>
  </w:style>
  <w:style w:type="paragraph" w:customStyle="1" w:styleId="msolistparagraph0">
    <w:name w:val="msolistparagraph"/>
    <w:basedOn w:val="Normal"/>
    <w:rsid w:val="001F6F37"/>
    <w:pPr>
      <w:spacing w:after="200" w:line="276" w:lineRule="auto"/>
      <w:ind w:left="720"/>
    </w:pPr>
    <w:rPr>
      <w:rFonts w:ascii="Calibri" w:hAnsi="Calibri"/>
      <w:sz w:val="22"/>
      <w:szCs w:val="22"/>
      <w:lang w:val="el-GR" w:eastAsia="el-GR"/>
    </w:rPr>
  </w:style>
  <w:style w:type="character" w:customStyle="1" w:styleId="EndnoteTextChar">
    <w:name w:val="Endnote Text Char"/>
    <w:basedOn w:val="DefaultParagraphFont"/>
    <w:link w:val="EndnoteText"/>
    <w:uiPriority w:val="99"/>
    <w:semiHidden/>
    <w:rsid w:val="001F6F37"/>
    <w:rPr>
      <w:lang w:val="en-GB" w:eastAsia="el-GR"/>
    </w:rPr>
  </w:style>
  <w:style w:type="paragraph" w:styleId="EndnoteText">
    <w:name w:val="endnote text"/>
    <w:basedOn w:val="Normal"/>
    <w:link w:val="EndnoteTextChar"/>
    <w:uiPriority w:val="99"/>
    <w:semiHidden/>
    <w:unhideWhenUsed/>
    <w:rsid w:val="001F6F37"/>
    <w:rPr>
      <w:sz w:val="20"/>
      <w:szCs w:val="20"/>
      <w:lang w:eastAsia="el-GR"/>
    </w:rPr>
  </w:style>
  <w:style w:type="paragraph" w:customStyle="1" w:styleId="Questionnote">
    <w:name w:val="Question note"/>
    <w:basedOn w:val="Normal"/>
    <w:rsid w:val="001F6F37"/>
    <w:pPr>
      <w:tabs>
        <w:tab w:val="right" w:pos="-142"/>
      </w:tabs>
      <w:spacing w:after="40" w:line="240" w:lineRule="exact"/>
      <w:ind w:right="731"/>
      <w:outlineLvl w:val="0"/>
    </w:pPr>
    <w:rPr>
      <w:rFonts w:ascii="Arial" w:hAnsi="Arial"/>
      <w:sz w:val="18"/>
      <w:szCs w:val="20"/>
      <w:lang w:eastAsia="en-GB"/>
    </w:rPr>
  </w:style>
  <w:style w:type="paragraph" w:customStyle="1" w:styleId="Qsyesno">
    <w:name w:val="Qs yes/no"/>
    <w:basedOn w:val="Normal"/>
    <w:rsid w:val="001F6F37"/>
    <w:pPr>
      <w:tabs>
        <w:tab w:val="right" w:pos="-142"/>
        <w:tab w:val="left" w:pos="284"/>
        <w:tab w:val="left" w:pos="851"/>
      </w:tabs>
      <w:spacing w:before="20" w:after="20" w:line="220" w:lineRule="exact"/>
      <w:ind w:right="731"/>
      <w:outlineLvl w:val="0"/>
    </w:pPr>
    <w:rPr>
      <w:rFonts w:ascii="Arial" w:hAnsi="Arial"/>
      <w:sz w:val="18"/>
      <w:szCs w:val="20"/>
      <w:lang w:eastAsia="en-GB"/>
    </w:rPr>
  </w:style>
  <w:style w:type="paragraph" w:customStyle="1" w:styleId="BodyText1">
    <w:name w:val="Body Text1"/>
    <w:basedOn w:val="Normal"/>
    <w:rsid w:val="001F6F37"/>
    <w:pPr>
      <w:spacing w:line="360" w:lineRule="exact"/>
    </w:pPr>
    <w:rPr>
      <w:rFonts w:ascii="Verdana" w:hAnsi="Verdana"/>
      <w:sz w:val="22"/>
      <w:szCs w:val="20"/>
    </w:rPr>
  </w:style>
  <w:style w:type="character" w:styleId="EndnoteReference">
    <w:name w:val="endnote reference"/>
    <w:basedOn w:val="DefaultParagraphFont"/>
    <w:uiPriority w:val="99"/>
    <w:semiHidden/>
    <w:unhideWhenUsed/>
    <w:rsid w:val="00552E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580525">
      <w:bodyDiv w:val="1"/>
      <w:marLeft w:val="0"/>
      <w:marRight w:val="0"/>
      <w:marTop w:val="0"/>
      <w:marBottom w:val="0"/>
      <w:divBdr>
        <w:top w:val="none" w:sz="0" w:space="0" w:color="auto"/>
        <w:left w:val="none" w:sz="0" w:space="0" w:color="auto"/>
        <w:bottom w:val="none" w:sz="0" w:space="0" w:color="auto"/>
        <w:right w:val="none" w:sz="0" w:space="0" w:color="auto"/>
      </w:divBdr>
    </w:div>
    <w:div w:id="1438326123">
      <w:bodyDiv w:val="1"/>
      <w:marLeft w:val="0"/>
      <w:marRight w:val="0"/>
      <w:marTop w:val="0"/>
      <w:marBottom w:val="0"/>
      <w:divBdr>
        <w:top w:val="none" w:sz="0" w:space="0" w:color="auto"/>
        <w:left w:val="none" w:sz="0" w:space="0" w:color="auto"/>
        <w:bottom w:val="none" w:sz="0" w:space="0" w:color="auto"/>
        <w:right w:val="none" w:sz="0" w:space="0" w:color="auto"/>
      </w:divBdr>
    </w:div>
    <w:div w:id="1650787528">
      <w:bodyDiv w:val="1"/>
      <w:marLeft w:val="0"/>
      <w:marRight w:val="0"/>
      <w:marTop w:val="0"/>
      <w:marBottom w:val="0"/>
      <w:divBdr>
        <w:top w:val="none" w:sz="0" w:space="0" w:color="auto"/>
        <w:left w:val="none" w:sz="0" w:space="0" w:color="auto"/>
        <w:bottom w:val="none" w:sz="0" w:space="0" w:color="auto"/>
        <w:right w:val="none" w:sz="0" w:space="0" w:color="auto"/>
      </w:divBdr>
    </w:div>
    <w:div w:id="1716276390">
      <w:bodyDiv w:val="1"/>
      <w:marLeft w:val="0"/>
      <w:marRight w:val="0"/>
      <w:marTop w:val="0"/>
      <w:marBottom w:val="0"/>
      <w:divBdr>
        <w:top w:val="none" w:sz="0" w:space="0" w:color="auto"/>
        <w:left w:val="none" w:sz="0" w:space="0" w:color="auto"/>
        <w:bottom w:val="none" w:sz="0" w:space="0" w:color="auto"/>
        <w:right w:val="none" w:sz="0" w:space="0" w:color="auto"/>
      </w:divBdr>
    </w:div>
    <w:div w:id="1717006529">
      <w:bodyDiv w:val="1"/>
      <w:marLeft w:val="0"/>
      <w:marRight w:val="0"/>
      <w:marTop w:val="0"/>
      <w:marBottom w:val="0"/>
      <w:divBdr>
        <w:top w:val="none" w:sz="0" w:space="0" w:color="auto"/>
        <w:left w:val="none" w:sz="0" w:space="0" w:color="auto"/>
        <w:bottom w:val="none" w:sz="0" w:space="0" w:color="auto"/>
        <w:right w:val="none" w:sz="0" w:space="0" w:color="auto"/>
      </w:divBdr>
    </w:div>
    <w:div w:id="1744524644">
      <w:bodyDiv w:val="1"/>
      <w:marLeft w:val="0"/>
      <w:marRight w:val="0"/>
      <w:marTop w:val="0"/>
      <w:marBottom w:val="0"/>
      <w:divBdr>
        <w:top w:val="none" w:sz="0" w:space="0" w:color="auto"/>
        <w:left w:val="none" w:sz="0" w:space="0" w:color="auto"/>
        <w:bottom w:val="none" w:sz="0" w:space="0" w:color="auto"/>
        <w:right w:val="none" w:sz="0" w:space="0" w:color="auto"/>
      </w:divBdr>
    </w:div>
    <w:div w:id="1754356588">
      <w:bodyDiv w:val="1"/>
      <w:marLeft w:val="0"/>
      <w:marRight w:val="0"/>
      <w:marTop w:val="0"/>
      <w:marBottom w:val="0"/>
      <w:divBdr>
        <w:top w:val="none" w:sz="0" w:space="0" w:color="auto"/>
        <w:left w:val="none" w:sz="0" w:space="0" w:color="auto"/>
        <w:bottom w:val="none" w:sz="0" w:space="0" w:color="auto"/>
        <w:right w:val="none" w:sz="0" w:space="0" w:color="auto"/>
      </w:divBdr>
    </w:div>
    <w:div w:id="19123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D148EC-DB27-44F1-96B6-8B624913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B4C9032B</Template>
  <TotalTime>8</TotalTime>
  <Pages>4</Pages>
  <Words>1386</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ΣΗΜΕΙΩΜΑ</vt:lpstr>
    </vt:vector>
  </TitlesOfParts>
  <Company>CySEC</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ΣΗΜΕΙΩΜΑ</dc:title>
  <dc:creator>epanayiotou</dc:creator>
  <cp:lastModifiedBy>Andri Petrou</cp:lastModifiedBy>
  <cp:revision>6</cp:revision>
  <cp:lastPrinted>2017-02-03T10:56:00Z</cp:lastPrinted>
  <dcterms:created xsi:type="dcterms:W3CDTF">2017-02-03T11:02:00Z</dcterms:created>
  <dcterms:modified xsi:type="dcterms:W3CDTF">2017-02-22T12:11:00Z</dcterms:modified>
</cp:coreProperties>
</file>